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昌吉市人民法院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昌吉市人民法院是国家审判机关，对市人民代表大会及常务委员会负责并报告工作，接受自治州中级人民法院对审判工作的监督和业务指导，正科级建制。其主要职责是。</w:t>
      </w:r>
    </w:p>
    <w:p>
      <w:pPr>
        <w:spacing w:line="580" w:lineRule="exact"/>
        <w:ind w:firstLine="640"/>
        <w:jc w:val="both"/>
      </w:pPr>
      <w:r>
        <w:rPr>
          <w:rFonts w:ascii="仿宋_GB2312" w:hAnsi="仿宋_GB2312" w:eastAsia="仿宋_GB2312"/>
          <w:sz w:val="32"/>
        </w:rPr>
        <w:t>（1）依法审判法律规定由基层人民法院管辖，自治州中级人民法院指定管辖或者认为应当由自己审判的刑事、民事、行政等第一审案件。</w:t>
      </w:r>
    </w:p>
    <w:p>
      <w:pPr>
        <w:spacing w:line="580" w:lineRule="exact"/>
        <w:ind w:firstLine="640"/>
        <w:jc w:val="both"/>
      </w:pPr>
      <w:r>
        <w:rPr>
          <w:rFonts w:ascii="仿宋_GB2312" w:hAnsi="仿宋_GB2312" w:eastAsia="仿宋_GB2312"/>
          <w:sz w:val="32"/>
        </w:rPr>
        <w:t>（2）审理上级法院指令再审的各类案件；受理不服本院一审生效裁判的各类申诉和再诉申请，对其中确有错误的，依法提起再审。</w:t>
      </w:r>
    </w:p>
    <w:p>
      <w:pPr>
        <w:spacing w:line="580" w:lineRule="exact"/>
        <w:ind w:firstLine="640"/>
        <w:jc w:val="both"/>
      </w:pPr>
      <w:r>
        <w:rPr>
          <w:rFonts w:ascii="仿宋_GB2312" w:hAnsi="仿宋_GB2312" w:eastAsia="仿宋_GB2312"/>
          <w:sz w:val="32"/>
        </w:rPr>
        <w:t>（3）依法审判由市人民检察院按照审判监督程序提出的抗诉案件。</w:t>
      </w:r>
    </w:p>
    <w:p>
      <w:pPr>
        <w:spacing w:line="580" w:lineRule="exact"/>
        <w:ind w:firstLine="640"/>
        <w:jc w:val="both"/>
      </w:pPr>
      <w:r>
        <w:rPr>
          <w:rFonts w:ascii="仿宋_GB2312" w:hAnsi="仿宋_GB2312" w:eastAsia="仿宋_GB2312"/>
          <w:sz w:val="32"/>
        </w:rPr>
        <w:t>（4）处理不需要开庭审判的民事纠纷和轻微的刑事案件。</w:t>
      </w:r>
    </w:p>
    <w:p>
      <w:pPr>
        <w:spacing w:line="580" w:lineRule="exact"/>
        <w:ind w:firstLine="640"/>
        <w:jc w:val="both"/>
      </w:pPr>
      <w:r>
        <w:rPr>
          <w:rFonts w:ascii="仿宋_GB2312" w:hAnsi="仿宋_GB2312" w:eastAsia="仿宋_GB2312"/>
          <w:sz w:val="32"/>
        </w:rPr>
        <w:t>（5）依法行使司法执行权和司法决定权。</w:t>
      </w:r>
    </w:p>
    <w:p>
      <w:pPr>
        <w:spacing w:line="580" w:lineRule="exact"/>
        <w:ind w:firstLine="640"/>
        <w:jc w:val="both"/>
      </w:pPr>
      <w:r>
        <w:rPr>
          <w:rFonts w:ascii="仿宋_GB2312" w:hAnsi="仿宋_GB2312" w:eastAsia="仿宋_GB2312"/>
          <w:sz w:val="32"/>
        </w:rPr>
        <w:t>（6）依法办理外地法院委托办理的司法协助事项。</w:t>
      </w:r>
    </w:p>
    <w:p>
      <w:pPr>
        <w:spacing w:line="580" w:lineRule="exact"/>
        <w:ind w:firstLine="640"/>
        <w:jc w:val="both"/>
      </w:pPr>
      <w:r>
        <w:rPr>
          <w:rFonts w:ascii="仿宋_GB2312" w:hAnsi="仿宋_GB2312" w:eastAsia="仿宋_GB2312"/>
          <w:sz w:val="32"/>
        </w:rPr>
        <w:t>（7）对法院的法官和其他工作人员进行思想政治教育，组织业务专业培训和监督管理工作。</w:t>
      </w:r>
    </w:p>
    <w:p>
      <w:pPr>
        <w:spacing w:line="580" w:lineRule="exact"/>
        <w:ind w:firstLine="640"/>
        <w:jc w:val="both"/>
      </w:pPr>
      <w:r>
        <w:rPr>
          <w:rFonts w:ascii="仿宋_GB2312" w:hAnsi="仿宋_GB2312" w:eastAsia="仿宋_GB2312"/>
          <w:sz w:val="32"/>
        </w:rPr>
        <w:t>（8）指导基层人民调解委员会的工作。</w:t>
      </w:r>
    </w:p>
    <w:p>
      <w:pPr>
        <w:spacing w:line="580" w:lineRule="exact"/>
        <w:ind w:firstLine="640"/>
        <w:jc w:val="both"/>
      </w:pPr>
      <w:r>
        <w:rPr>
          <w:rFonts w:ascii="仿宋_GB2312" w:hAnsi="仿宋_GB2312" w:eastAsia="仿宋_GB2312"/>
          <w:sz w:val="32"/>
        </w:rPr>
        <w:t>（9）在审判工作中宣传法制，教育公民自觉遵守宪法、法律。</w:t>
      </w:r>
    </w:p>
    <w:p>
      <w:pPr>
        <w:spacing w:line="580" w:lineRule="exact"/>
        <w:ind w:firstLine="640"/>
        <w:jc w:val="both"/>
      </w:pPr>
      <w:r>
        <w:rPr>
          <w:rFonts w:ascii="仿宋_GB2312" w:hAnsi="仿宋_GB2312" w:eastAsia="仿宋_GB2312"/>
          <w:sz w:val="32"/>
        </w:rPr>
        <w:t>（10）管理人民法院的物质装备。</w:t>
      </w:r>
    </w:p>
    <w:p>
      <w:pPr>
        <w:spacing w:line="580" w:lineRule="exact"/>
        <w:ind w:firstLine="640"/>
        <w:jc w:val="both"/>
      </w:pPr>
      <w:r>
        <w:rPr>
          <w:rFonts w:ascii="仿宋_GB2312" w:hAnsi="仿宋_GB2312" w:eastAsia="仿宋_GB2312"/>
          <w:sz w:val="32"/>
        </w:rPr>
        <w:t>（11）承办其他应当由市法院负责的工作。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昌吉市人民法院无下属预算单位。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2025年度收入总计5,940.63万元，</w:t>
      </w:r>
      <w:r>
        <w:rPr>
          <w:rFonts w:ascii="仿宋_GB2312" w:hAnsi="仿宋_GB2312" w:eastAsia="仿宋_GB2312"/>
          <w:b w:val="0"/>
          <w:sz w:val="32"/>
        </w:rPr>
        <w:t>其中：本年收入合计5,889.28万元，使用非财政拨款结余（含专用结余）0.00万元，年初结转和结余51.36万元。</w:t>
      </w:r>
    </w:p>
    <w:p>
      <w:pPr>
        <w:spacing w:line="580" w:lineRule="exact"/>
        <w:ind w:firstLine="640"/>
        <w:jc w:val="both"/>
      </w:pPr>
      <w:r>
        <w:rPr>
          <w:rFonts w:ascii="仿宋_GB2312" w:hAnsi="仿宋_GB2312" w:eastAsia="仿宋_GB2312"/>
          <w:b/>
          <w:sz w:val="32"/>
        </w:rPr>
        <w:t>2025年度支出总计5,940.63万元，</w:t>
      </w:r>
      <w:r>
        <w:rPr>
          <w:rFonts w:ascii="仿宋_GB2312" w:hAnsi="仿宋_GB2312" w:eastAsia="仿宋_GB2312"/>
          <w:b w:val="0"/>
          <w:sz w:val="32"/>
        </w:rPr>
        <w:t>其中：本年支出合计5,896.21万元，结余分配0.00万元，年末结转和结余44.42万元。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增加532.16万元，增长9.84%，主要原因是：本年在职人员公务员医疗补助调整缴费比例，人员经费增加，本年增加办公用房维修及数字化等2个项目，本年信访等项目资金较上年增加。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本年收入5,889.28万元，</w:t>
      </w:r>
      <w:r>
        <w:rPr>
          <w:rFonts w:ascii="仿宋_GB2312" w:hAnsi="仿宋_GB2312" w:eastAsia="仿宋_GB2312"/>
          <w:b w:val="0"/>
          <w:sz w:val="32"/>
        </w:rPr>
        <w:t>其中：财政拨款收入5,846.11万元，占99.27%；上级补助收入0.00万元，占0.00%；事业收入0.00万元，占0.00%；经营收入0.00万元，占0.00%；附属单位上缴收入0.00万元，占0.00%；其他收入43.17万元，占0.73%。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本年支出5,896.21万元，</w:t>
      </w:r>
      <w:r>
        <w:rPr>
          <w:rFonts w:ascii="仿宋_GB2312" w:hAnsi="仿宋_GB2312" w:eastAsia="仿宋_GB2312"/>
          <w:b w:val="0"/>
          <w:sz w:val="32"/>
        </w:rPr>
        <w:t>其中：基本支出4,645.64万元，占78.79%；项目支出1,250.58万元，占21.21%；上缴上级支出0.00万元，占0.00%；经营支出0.00万元，占0.00%；对附属单位补助支出0.00万元，占0.00%。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2025年度财政拨款收入总计5,846.11万元，</w:t>
      </w:r>
      <w:r>
        <w:rPr>
          <w:rFonts w:ascii="仿宋_GB2312" w:hAnsi="仿宋_GB2312" w:eastAsia="仿宋_GB2312"/>
          <w:b w:val="0"/>
          <w:sz w:val="32"/>
        </w:rPr>
        <w:t>其中：年初财政拨款结转和结余0.00万元，本年财政拨款收入5,846.11万元。</w:t>
      </w:r>
      <w:r>
        <w:rPr>
          <w:rFonts w:ascii="仿宋_GB2312" w:hAnsi="仿宋_GB2312" w:eastAsia="仿宋_GB2312"/>
          <w:b/>
          <w:sz w:val="32"/>
        </w:rPr>
        <w:t>财政拨款支出总计5,846.11万元，</w:t>
      </w:r>
      <w:r>
        <w:rPr>
          <w:rFonts w:ascii="仿宋_GB2312" w:hAnsi="仿宋_GB2312" w:eastAsia="仿宋_GB2312"/>
          <w:b w:val="0"/>
          <w:sz w:val="32"/>
        </w:rPr>
        <w:t>其中：年末财政拨款结转和结余0.00万元，本年财政拨款支出5,846.11万元。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增加529.04万元，增长9.95%，主要原因是：本年在职人员公务员医疗补助调整缴费比例，人员经费增加，本年增加办公用房维修及数字化等2个项目，本年信访等项目资金较上年增加。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年初预算数5,067.53万元，决算数5,846.11万元，预决算差异率15.36%，主要原因是：在职人员公务员医疗补助缴费比例提高，年中员额法官工资普调，年中追加人员经费，导致预决算产生差异。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按照支出功能分类，公共安全支出（类）法院（款）行政运行（项）的支出占本年财政拨款支出总额的比重最高，2025年度决算数为3,683.93万元，占比63.02%，主要用于人员工资福利、聘用人员工资、公用经费等。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2025年度一般公共预算财政拨款支出5,846.11万元，</w:t>
      </w:r>
      <w:r>
        <w:rPr>
          <w:rFonts w:ascii="仿宋_GB2312" w:hAnsi="仿宋_GB2312" w:eastAsia="仿宋_GB2312"/>
          <w:b w:val="0"/>
          <w:sz w:val="32"/>
        </w:rPr>
        <w:t>占本年支出合计的99.15%。</w:t>
      </w:r>
      <w:r>
        <w:rPr>
          <w:rFonts w:ascii="仿宋_GB2312" w:hAnsi="仿宋_GB2312" w:eastAsia="仿宋_GB2312"/>
          <w:b/>
          <w:sz w:val="32"/>
        </w:rPr>
        <w:t>与上年相比，</w:t>
      </w:r>
      <w:r>
        <w:rPr>
          <w:rFonts w:ascii="仿宋_GB2312" w:hAnsi="仿宋_GB2312" w:eastAsia="仿宋_GB2312"/>
          <w:b w:val="0"/>
          <w:sz w:val="32"/>
        </w:rPr>
        <w:t>增加529.04万元，增长9.95%，主要原因是：本年在职人员公务员医疗补助调整缴费比例，人员经费增加，本年增加办公用房维修及数字化等2个项目，本年信访等项目资金较上年增加。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年初预算数5,067.53万元，决算数5,846.11万元，预决算差异率15.36%，主要原因是：在职人员公务员医疗补助缴费比例提高，年中员额法官工资普调，年中追加人员经费，导致预决算产生差异。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1.公共安全支出（类）4,849.40万元，占82.95%。</w:t>
      </w:r>
    </w:p>
    <w:p>
      <w:pPr>
        <w:spacing w:line="580" w:lineRule="exact"/>
        <w:ind w:firstLine="640"/>
        <w:jc w:val="both"/>
      </w:pPr>
      <w:r>
        <w:rPr>
          <w:rFonts w:ascii="仿宋_GB2312" w:hAnsi="仿宋_GB2312" w:eastAsia="仿宋_GB2312"/>
          <w:b w:val="0"/>
          <w:sz w:val="32"/>
        </w:rPr>
        <w:t>2.社会保障和就业支出（类）471.26万元，占8.06%。</w:t>
      </w:r>
    </w:p>
    <w:p>
      <w:pPr>
        <w:spacing w:line="580" w:lineRule="exact"/>
        <w:ind w:firstLine="640"/>
        <w:jc w:val="both"/>
      </w:pPr>
      <w:r>
        <w:rPr>
          <w:rFonts w:ascii="仿宋_GB2312" w:hAnsi="仿宋_GB2312" w:eastAsia="仿宋_GB2312"/>
          <w:b w:val="0"/>
          <w:sz w:val="32"/>
        </w:rPr>
        <w:t>3.卫生健康支出（类）241.97万元，占4.14%。</w:t>
      </w:r>
    </w:p>
    <w:p>
      <w:pPr>
        <w:spacing w:line="580" w:lineRule="exact"/>
        <w:ind w:firstLine="640"/>
        <w:jc w:val="both"/>
      </w:pPr>
      <w:r>
        <w:rPr>
          <w:rFonts w:ascii="仿宋_GB2312" w:hAnsi="仿宋_GB2312" w:eastAsia="仿宋_GB2312"/>
          <w:b w:val="0"/>
          <w:sz w:val="32"/>
        </w:rPr>
        <w:t>4.住房保障支出（类）241.21万元，占4.13%。</w:t>
      </w:r>
    </w:p>
    <w:p>
      <w:pPr>
        <w:spacing w:line="580" w:lineRule="exact"/>
        <w:ind w:firstLine="640"/>
        <w:jc w:val="both"/>
      </w:pPr>
      <w:r>
        <w:rPr>
          <w:rFonts w:ascii="仿宋_GB2312" w:hAnsi="仿宋_GB2312" w:eastAsia="仿宋_GB2312"/>
          <w:b w:val="0"/>
          <w:sz w:val="32"/>
        </w:rPr>
        <w:t>5.其他支出（类）42.27万元，占0.72%。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信访事务（款）信访业务（项）：支出决算数为0.00万元，比上年决算减少5.00万元，下降100.00%，主要原因是：本年集中清理重复信访、化解信访疑难案件项目较去年减少，因此本年较上年信访支出减少。</w:t>
      </w:r>
    </w:p>
    <w:p>
      <w:pPr>
        <w:spacing w:line="580" w:lineRule="exact"/>
        <w:ind w:firstLine="640"/>
        <w:jc w:val="both"/>
      </w:pPr>
      <w:r>
        <w:rPr>
          <w:rFonts w:ascii="仿宋_GB2312" w:hAnsi="仿宋_GB2312" w:eastAsia="仿宋_GB2312"/>
          <w:b w:val="0"/>
          <w:sz w:val="32"/>
        </w:rPr>
        <w:t>2.公共安全支出（类）法院（款）行政运行（项）：支出决算数为3,683.93万元，比上年决算增加262.77万元，增长7.68%，主要原因是：本年在职人员工资调增，年中员额法官工资普调，人员经费支出增加。</w:t>
      </w:r>
    </w:p>
    <w:p>
      <w:pPr>
        <w:spacing w:line="580" w:lineRule="exact"/>
        <w:ind w:firstLine="640"/>
        <w:jc w:val="both"/>
      </w:pPr>
      <w:r>
        <w:rPr>
          <w:rFonts w:ascii="仿宋_GB2312" w:hAnsi="仿宋_GB2312" w:eastAsia="仿宋_GB2312"/>
          <w:b w:val="0"/>
          <w:sz w:val="32"/>
        </w:rPr>
        <w:t>3.公共安全支出（类）法院（款）一般行政管理事务（项）：支出决算数为432.11万元，比上年决算增加337.73万元，增长357.84%，主要原因是：本年增加办公用房维修及数字化等2个项目，本年信访等项目资金较上年增加。</w:t>
      </w:r>
    </w:p>
    <w:p>
      <w:pPr>
        <w:spacing w:line="580" w:lineRule="exact"/>
        <w:ind w:firstLine="640"/>
        <w:jc w:val="both"/>
      </w:pPr>
      <w:r>
        <w:rPr>
          <w:rFonts w:ascii="仿宋_GB2312" w:hAnsi="仿宋_GB2312" w:eastAsia="仿宋_GB2312"/>
          <w:b w:val="0"/>
          <w:sz w:val="32"/>
        </w:rPr>
        <w:t>4.公共安全支出（类）法院（款）其他法院支出（项）：支出决算数为701.36万元，比上年决算减少195.87万元，下降21.83%，主要原因是：本年中央政法纪检监察转移支付资金较上年减少。</w:t>
      </w:r>
    </w:p>
    <w:p>
      <w:pPr>
        <w:spacing w:line="580" w:lineRule="exact"/>
        <w:ind w:firstLine="640"/>
        <w:jc w:val="both"/>
      </w:pPr>
      <w:r>
        <w:rPr>
          <w:rFonts w:ascii="仿宋_GB2312" w:hAnsi="仿宋_GB2312" w:eastAsia="仿宋_GB2312"/>
          <w:b w:val="0"/>
          <w:sz w:val="32"/>
        </w:rPr>
        <w:t>5.公共安全支出（类）其他公共安全支出（款）其他公共安全支出（项）：支出决算数为32.00万元，比上年决算增加32.00万元，增长100.00%，主要原因是：本年新增专项项目资金。</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55.96万元，比上年决算增加16.70万元，增长42.54%，主要原因是：本年退休人员增加，增加退休人员基础绩效奖，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276.70万元，比上年决算减少7.64万元，下降2.69%，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138.60万元，比上年决算减少8.43万元，下降5.73%，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167.41万元，比上年决算增加25.24万元，增长17.75%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72.74万元，比上年决算增加63.85万元，增长718.22%，主要原因是：在职人员公务员医疗补助缴费比例提高，导致公务员医疗补助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1.81万元，比上年决算增加0.57万元，增长45.97%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12.住房保障支出（类）住房改革支出（款）住房公积金（项）：支出决算数为241.21万元，比上年决算增加13.74万元，增长6.04%，主要原因是：本年在职人员工资基数调增，公积金缴费基数上涨，相应支出增加。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13.其他支出（类）其他支出（款）其他支出（项）：支出决算数为42.27万元，比上年决算减少6.65万元，下降13.59%，主要原因是：本年为民办实事工作经费较上年减少为以前年度结转资金减少。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2025年度一般公共预算财政拨款基本支出4,645.64万元，其中：</w:t>
      </w:r>
      <w:r>
        <w:rPr>
          <w:rFonts w:ascii="仿宋_GB2312" w:hAnsi="仿宋_GB2312" w:eastAsia="仿宋_GB2312"/>
          <w:b/>
          <w:sz w:val="32"/>
        </w:rPr>
        <w:t>人员经费3,996.02万元，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公用经费649.62万元，</w:t>
      </w:r>
      <w:r>
        <w:rPr>
          <w:rFonts w:ascii="仿宋_GB2312" w:hAnsi="仿宋_GB2312" w:eastAsia="仿宋_GB2312"/>
          <w:b w:val="0"/>
          <w:sz w:val="32"/>
        </w:rPr>
        <w:t>包括：办公费、水费、电费、取暖费、物业管理费、维修（护）费、租赁费、公务接待费、劳务费、委托业务费、工会经费、福利费、其他商品和服务支出。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2025年度财政拨款“三公”经费支出31.21万元，</w:t>
      </w:r>
      <w:r>
        <w:rPr>
          <w:rFonts w:ascii="仿宋_GB2312" w:hAnsi="仿宋_GB2312" w:eastAsia="仿宋_GB2312"/>
          <w:b w:val="0"/>
          <w:sz w:val="32"/>
        </w:rPr>
        <w:t>比上年增加7.18万元，增长29.88%，主要原因是：本单位公务用车日渐老化，维修维护成本增加，导致公务用车运行维护费较上年增加，本年度接待人次较上年增加，导致公务接待费较上年增加。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公务用车购置及运行维护费支出30.91万元，占99.04%，比上年增加6.96万元，增长29.06%，主要原因是：本单位公务用车日渐老化，维修维护成本增加，导致公务用车运行维护费较上年增加。</w:t>
      </w:r>
      <w:r>
        <w:rPr>
          <w:rFonts w:ascii="仿宋_GB2312" w:hAnsi="仿宋_GB2312" w:eastAsia="仿宋_GB2312"/>
          <w:b w:val="0"/>
          <w:sz w:val="32"/>
        </w:rPr>
        <w:t>公务接待费支出0.30万元，占0.96%，比上年增加0.22万元，增长275.00%，主要原因是：本年度接待人次较上年增加，导致公务接待费较上年增加。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30.91万元，其中：公务用车购置费0.00万元，公务用车运行维护费30.91万元。公务用车运行维护费开支内容包括车辆加油费、维修费、保险费、审车费、过路费等。公务用车购置数0辆，公务用车保有量17辆。国有资产占用情况中固定资产车辆17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公务接待费0.30万元，开支内容包括因工作安排，接待外单位考察学习产生的就餐费。单位全年安排的国内公务接待3批次，24人次。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31.21万元，决算数31.21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30.91万元，决算数30.91万元，预决算差异率0.00%，主要原因是：严格按照预算执行，预决算无差异。公务接待费全年预算数0.30万元，决算数0.30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2025年度昌吉市人民法院（行政单位和参照公务员法管理事业单位）机关运行经费支出649.62万元，比上年增加85.54万元，增长15.16%，主要原因是：本年劳务费增加导致机关运行经费较上年增加。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2025年度政府采购支出总额768.42万元，其中：政府采购货物支出391.67万元、政府采购工程支出79.82万元、政府采购服务支出296.93万元。</w:t>
      </w:r>
    </w:p>
    <w:p>
      <w:pPr>
        <w:spacing w:line="580" w:lineRule="exact"/>
        <w:ind w:firstLine="640"/>
        <w:jc w:val="both"/>
      </w:pPr>
      <w:r>
        <w:rPr>
          <w:rFonts w:ascii="仿宋_GB2312" w:hAnsi="仿宋_GB2312" w:eastAsia="仿宋_GB2312"/>
          <w:b w:val="0"/>
          <w:sz w:val="32"/>
        </w:rPr>
        <w:t>授予中小企业合同金额314.76万元，占政府采购支出总额的40.96%，其中：授予小微企业合同金额276.46万元，占政府采购支出总额的35.98%。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9,185.00平方米，价值1,290.93万元。车辆17辆，价值411.10万元，其中：副部（省）级及以上领导用车0辆、主要负责人用车0辆、机要通信用车0辆、应急保障用车0辆、执法执勤用车16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5,940.63万元，实际执行总额5,896.22万元；预算绩效评价项目6个，全年预算数187.73万元，全年执行数183.64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存在的主要问题单位各部门对项目资金的绩效意识还有待加强，对项目资金的分配及使用要加大执行力度，以期实现最大效益化。二是原因分析绩效自评包含项目自评等内容，许多项目经办人员未能参与到绩效工作业务培训中来，对预算绩效工作重视度不够。下一步改进措施：一是加强绩效评价管理制度和流程的建设，进一步深化、完善绩效管理体系，建立全过程的预算绩效管理机制，促进绩效管理工作向广度和深度延伸。二是规范绩效评价管理资料的收集整理，确保相关信息完整、可靠，客观公正地反映项目资金实际使用和产生的绩效状况，为今后该项目实施方向及管理方式的改进提供指导。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672.44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4,395.09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5,082.75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5,082.75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5,067.53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5,940.63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5,896.22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市人民法院将坚持以习近平新时代中国特色社会主义思想为指导，全面贯彻党的二十届二中、三中全会精神，认真落实区州市党委决策部署，按照上级法院“五个走在前列”的期待要求，以群众满意为重要标尺，持续提升审判质效、优化服务效能、推进多元解纷、强化司法作风，以扎实成效回馈社会期盼。坚定信念，以更高的政治站位推动政治思想建院。紧扣中心，以更新的司法理念服务保障发展大局。厉行法治，以更强的使命担当捍卫社会公平正义。赓续初心，以更优的司法服务满足多元司法需求。厚植根基，以更严的政治标准锻造忠诚过硬队伍。同心戮力，以更主动的姿态打造人民满意政法机关。同时，法院积极作为，其中法定审限内结案率、法定审限内案件执行执结率、受理案件数量、审结案件数量成效显著，有力维护了法律权威和当事人的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全年预算数为5,940.63万元，全年执行数为5,896.22万元，总预算执行率为99.93%。2025年我单位完成以下工作内容：1法定审限内结案率达到90%；2.法定审限内案件执行执结率95.2%；3.受理案件0.53万件；4.审结案件数量0.49万件。通过以上工作的实施，保障我院办公人员正常办公，达到维护社会稳定的效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受理案件数量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&gt;2.61万件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《人民法院审判质量管理指标体系》《昌吉市人民法院2025年工作安排》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审结案件数量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&gt;2.57万件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《人民法院审判质量管理指标体系》《昌吉市人民法院2025年工作安排》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法定审限内结案率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《人民法院审判质量管理指标体系》《昌吉市人民法院2025年工作安排》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法定审限内案件执行执结率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《人民法院审判质量管理指标体系》《昌吉市人民法院2025年工作安排》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2025年庭州英才人才</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2025年该项目计划向1位庭州英才发放人才补助工作经费。一次性发放，资金发放准确率达到100%，项目拟在2025年12月10日前完成。通过该项目的实施，显著提升单位法治人才质量与法治工作水平。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截至2025年12月31日，本项目支出资金1万元，资金执行率100%，本项目实际完成向1位庭州英才发放人才补助工作经费，发放补助1次。通过本项目的实施，提升单位法治人才质量与法治工作水平。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提升单位法治人才质量与法治工作水平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受补助人员满意度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“石榴花”妇女儿童维权工作室专项资金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3万元，畅通妇女儿童维权渠道，引导合法权益受到侵害的妇女儿童依法维权，全面落实维护妇女儿童合法权益“五项机制”，新增“石榴花”妇女儿童维权工作室1个，制作宣传品大于等于1批，提升妇女儿童的维权水平，确保在保障妇女儿童合法权益方面取得实效，持续深入开展妇女儿童维权服务，使服务对象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。截至2025年12月31日，本项目支出资金2万元，资金执行率100%，本项目实际完成发放救助款人数6人，制作宣传片1部。通过本项目的实施，提升妇女儿童的维权水平。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发放救助款人数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制作宣传片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救助款发放准确率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宣传片制作验收合格率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发放救助款经费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宣传支出经费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培训支出经费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咨询及心理辅导支出经费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提升妇女儿童的维权水平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受益妇女儿童满意度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当前绩效目标主要基于上一年的历史满意度数据制定。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三工法庭基础设施建设项目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向三工法庭基础建设单位支付欠款25.8万元，此项目支付1个项目尾款。项目已投入使用。计划2025年12月10日前完成支付放。通过该项目的实施，防范财政风险，提升政府公信力，保证受益企业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截至2025年12月31日，本项目支出资金25.8万元，资金执行率100%，本项目实际完成向三工法庭基础建设单位支付欠款25.8万元，此项目支付1个项目尾款。通过本项目的实施，防范财政风险，提升政府公信力。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尾款资金支付企业数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资金足额支付率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三工法庭基础建设项目尾款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有效防范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办公用房维修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吉市人民法院大西渠法庭项目需要，解决安全隐患和节能降碳不达标的问题。保障2025年争创全国“枫桥式人民法庭”。此项目拟维修改造法庭面积550平方米，保障我院办公人员安全，项目完成时限为2025年12月10日前，通过此项目降低安全隐患，使干警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截至2025年12月31日，本项目支出资金23万元，资金执行率100%，本项目实际完成维护改造项目1个，维修改造法庭面积550平方米。通过本项目的实施，保障我院办公人员安全，降低安全隐患。</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维护改造项目数量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建筑工程费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前期费用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降低安全隐患</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干警满意度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审批楼维修改造项目等尾款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2025年该项目计划向审批楼维修改造单位支付欠款9.93万元，此项目支付6个项目尾款。项目已投入使用。计划2025年12月10日前完成支付放。通过该项目的实施，防范财政风险，提升政府公信力，保证受益企业满意。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截至2025年12月31日，本项目支出资金9.93万元，资金执行率100%，本项目实际完成支付项目尾款数量6个，尾款资金支付企业3家。通过本项目的实施，防范财政风险，提升政府公信力。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尾款资金支付企业数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资金足额支付率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支付博际建筑工程尾款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支付居泰建设工程尾款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支付泷川祥腾装饰部尾款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有效防范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物业外包项目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吉市人民法院物业特点和项目需要，在做好日常物业服务工作的基础上，时刻做好应急服务的准备并强力保障昌吉市人民法院物业的正常办公秩序，故设立物业外包项目，此项目拟配备后勤保障人员至少20人，保障我院人员数至少140人，项目完成时限为2025年12月10日前，通过此项目使后勤工作保障率达到100%，有效的保障工作场所整洁度，使干警满意度大于等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截至2025年12月31日，本项目支出资金121.91万元，资金执行率96.75%，本项目实际完成配备后勤保障人员20人，保障我院人员数140人。通过本项目的实施，保障工作场所整洁度。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后勤保障人员配备数（人）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工资、社保、税费经费数（万元）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未完成，存在偏差的原因为年初预算未充分结合法院物业实际运营场景（如突发安保需求、设施维护频次、季节性服务调整等），对市场物价波动、人工成本上涨等变量预估不足，导致计划金额与实际支出存在偏差。整改措施：结合法院物业3年以上历史运营数据，细化服务分项（安保、保洁、维修等）预算标准，充分调研市场价格走势、政策调整（如最低工资标准上调）等因素，预留5%-10%的弹性预算，提高预算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服装、物料经费数(万元)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保障工作场所整洁度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干警满意度（%）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此项指标已完成，存在偏差，偏差率为-11.11%，偏差原因为：项目实施情况较好，单位超额完成任务，干警满意度达到100%；下一年度改进措施：我院将在对预算年度的经济状况进行全面科学分析的基础上，按照“ 量入为出、收支平衡、统筹兼顾，确保重点 ” 的原则，合理安排预算收支，将预算资金尽量落实到具体项目，争取做到每个支出项目都能在预算中有所反映，使预算充分反映以政府为主体的资金收支活动全貌，保证预算的可执行性。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本年本单位其他项目5个，全年预算数958.38万元，全年执行数958.38万元。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