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昌吉回族自治州住房公积金管理中心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1、编制、执行住房公积金的归集、使用计划。</w:t>
      </w:r>
    </w:p>
    <w:p>
      <w:pPr>
        <w:spacing w:line="580" w:lineRule="exact"/>
        <w:ind w:firstLine="640"/>
        <w:jc w:val="both"/>
      </w:pPr>
      <w:r>
        <w:rPr>
          <w:rFonts w:ascii="仿宋_GB2312" w:hAnsi="仿宋_GB2312" w:eastAsia="仿宋_GB2312"/>
          <w:sz w:val="32"/>
        </w:rPr>
        <w:t>2、负责记载职工住房公积金的缴存、提取、使用等情况。</w:t>
      </w:r>
    </w:p>
    <w:p>
      <w:pPr>
        <w:spacing w:line="580" w:lineRule="exact"/>
        <w:ind w:firstLine="640"/>
        <w:jc w:val="both"/>
      </w:pPr>
      <w:r>
        <w:rPr>
          <w:rFonts w:ascii="仿宋_GB2312" w:hAnsi="仿宋_GB2312" w:eastAsia="仿宋_GB2312"/>
          <w:sz w:val="32"/>
        </w:rPr>
        <w:t>3、负责住房公积金的核算。</w:t>
      </w:r>
    </w:p>
    <w:p>
      <w:pPr>
        <w:spacing w:line="580" w:lineRule="exact"/>
        <w:ind w:firstLine="640"/>
        <w:jc w:val="both"/>
      </w:pPr>
      <w:r>
        <w:rPr>
          <w:rFonts w:ascii="仿宋_GB2312" w:hAnsi="仿宋_GB2312" w:eastAsia="仿宋_GB2312"/>
          <w:sz w:val="32"/>
        </w:rPr>
        <w:t>4、审批住房公积金的提取、使用。</w:t>
      </w:r>
    </w:p>
    <w:p>
      <w:pPr>
        <w:spacing w:line="580" w:lineRule="exact"/>
        <w:ind w:firstLine="640"/>
        <w:jc w:val="both"/>
      </w:pPr>
      <w:r>
        <w:rPr>
          <w:rFonts w:ascii="仿宋_GB2312" w:hAnsi="仿宋_GB2312" w:eastAsia="仿宋_GB2312"/>
          <w:sz w:val="32"/>
        </w:rPr>
        <w:t>5、负责住房公积金的保值和归还。</w:t>
      </w:r>
    </w:p>
    <w:p>
      <w:pPr>
        <w:spacing w:line="580" w:lineRule="exact"/>
        <w:ind w:firstLine="640"/>
        <w:jc w:val="both"/>
      </w:pPr>
      <w:r>
        <w:rPr>
          <w:rFonts w:ascii="仿宋_GB2312" w:hAnsi="仿宋_GB2312" w:eastAsia="仿宋_GB2312"/>
          <w:sz w:val="32"/>
        </w:rPr>
        <w:t>6、编制住房公积金归集、使用计划执行情况的报告。</w:t>
      </w:r>
    </w:p>
    <w:p>
      <w:pPr>
        <w:spacing w:line="580" w:lineRule="exact"/>
        <w:ind w:firstLine="640"/>
        <w:jc w:val="both"/>
      </w:pPr>
      <w:r>
        <w:rPr>
          <w:rFonts w:ascii="仿宋_GB2312" w:hAnsi="仿宋_GB2312" w:eastAsia="仿宋_GB2312"/>
          <w:sz w:val="32"/>
        </w:rPr>
        <w:t>7、承办住房公积金管理委员会决定的其他事项。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昌吉回族自治州住房公积金管理中心无下属预算单位。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2025年度收入总计3,538.42万元，</w:t>
      </w:r>
      <w:r>
        <w:rPr>
          <w:rFonts w:ascii="仿宋_GB2312" w:hAnsi="仿宋_GB2312" w:eastAsia="仿宋_GB2312"/>
          <w:b w:val="0"/>
          <w:sz w:val="32"/>
        </w:rPr>
        <w:t>其中：本年收入合计3,538.42万元，使用非财政拨款结余（含专用结余）0.00万元，年初结转和结余0.00万元。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2025年度支出总计3,538.42万元，</w:t>
      </w:r>
      <w:r>
        <w:rPr>
          <w:rFonts w:ascii="仿宋_GB2312" w:hAnsi="仿宋_GB2312" w:eastAsia="仿宋_GB2312"/>
          <w:b w:val="0"/>
          <w:sz w:val="32"/>
        </w:rPr>
        <w:t>其中：本年支出合计3,538.42万元，结余分配0.00万元，年末结转和结余0.00万元。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增加230.06万元，增长6.95%，主要原因是：本年在职人员工资调增，相关人员经费增加。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本年收入3,538.42万元，</w:t>
      </w:r>
      <w:r>
        <w:rPr>
          <w:rFonts w:ascii="仿宋_GB2312" w:hAnsi="仿宋_GB2312" w:eastAsia="仿宋_GB2312"/>
          <w:b w:val="0"/>
          <w:sz w:val="32"/>
        </w:rPr>
        <w:t>其中：财政拨款收入3,538.42万元，占100.00%；上级补助收入0.00万元，占0.00%；事业收入0.00万元，占0.00%；经营收入0.00万元，占0.00%；附属单位上缴收入0.00万元，占0.00%；其他收入0.00万元，占0.00%。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本年支出3,538.42万元，</w:t>
      </w:r>
      <w:r>
        <w:rPr>
          <w:rFonts w:ascii="仿宋_GB2312" w:hAnsi="仿宋_GB2312" w:eastAsia="仿宋_GB2312"/>
          <w:b w:val="0"/>
          <w:sz w:val="32"/>
        </w:rPr>
        <w:t>其中：基本支出2,711.14万元，占76.62%；项目支出827.28万元，占23.38%；上缴上级支出0.00万元，占0.00%；经营支出0.00万元，占0.00%；对附属单位补助支出0.00万元，占0.00%。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2025年度财政拨款收入总计3,538.42万元，</w:t>
      </w:r>
      <w:r>
        <w:rPr>
          <w:rFonts w:ascii="仿宋_GB2312" w:hAnsi="仿宋_GB2312" w:eastAsia="仿宋_GB2312"/>
          <w:b w:val="0"/>
          <w:sz w:val="32"/>
        </w:rPr>
        <w:t>其中：年初财政拨款结转和结余0.00万元，本年财政拨款收入3,538.42万元。</w:t>
      </w:r>
      <w:r>
        <w:rPr>
          <w:rFonts w:ascii="仿宋_GB2312" w:hAnsi="仿宋_GB2312" w:eastAsia="仿宋_GB2312"/>
          <w:b/>
          <w:sz w:val="32"/>
        </w:rPr>
        <w:t>财政拨款支出总计3,538.42万元，</w:t>
      </w:r>
      <w:r>
        <w:rPr>
          <w:rFonts w:ascii="仿宋_GB2312" w:hAnsi="仿宋_GB2312" w:eastAsia="仿宋_GB2312"/>
          <w:b w:val="0"/>
          <w:sz w:val="32"/>
        </w:rPr>
        <w:t>其中：年末财政拨款结转和结余0.00万元，本年财政拨款支出3,538.42万元。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增加230.06万元，增长6.95%，主要原因是：本年在职人员工资调增，相关人员经费增加。</w:t>
      </w:r>
      <w:r>
        <w:rPr>
          <w:rFonts w:ascii="仿宋_GB2312" w:hAnsi="仿宋_GB2312" w:eastAsia="仿宋_GB2312"/>
          <w:b/>
          <w:sz w:val="32"/>
        </w:rPr>
        <w:t>与年初预算相比，</w:t>
      </w:r>
      <w:r>
        <w:rPr>
          <w:rFonts w:ascii="仿宋_GB2312" w:hAnsi="仿宋_GB2312" w:eastAsia="仿宋_GB2312"/>
          <w:b w:val="0"/>
          <w:sz w:val="32"/>
        </w:rPr>
        <w:t>年初预算数3,405.51万元，决算数3,538.42万元，预决算差异率3.90%，主要原因是：本年在职人员增加，年中追加人员经费及人员工资、社保、公积金基数调增部分资金，导致预决算存在差异。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信息化建设、住房公积金高质量发展、民生保障等重点支出，体现在有关支出科目中。</w:t>
      </w:r>
    </w:p>
    <w:p>
      <w:pPr>
        <w:spacing w:line="580" w:lineRule="exact"/>
        <w:ind w:firstLine="640"/>
        <w:jc w:val="both"/>
      </w:pPr>
      <w:r>
        <w:rPr>
          <w:rFonts w:ascii="仿宋_GB2312" w:hAnsi="仿宋_GB2312" w:eastAsia="仿宋_GB2312"/>
          <w:b w:val="0"/>
          <w:sz w:val="32"/>
        </w:rPr>
        <w:t>按照支出功能分类，住房保障支出（类）城乡社区住宅（款）住房公积金管理（项）的支出占本年财政拨款支出总额的比重最高，2025年度决算数为3,119.81万元，占比88.17%，主要用于人员工资福利、日常公用经费、住房公积金管理服务及信息化建设。</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2025年度一般公共预算财政拨款支出3,538.42万元，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增加230.06万元，增长6.95%，主要原因是：本年在职人员增加，在职人员工资调增，相关人员经费增加。</w:t>
      </w:r>
      <w:r>
        <w:rPr>
          <w:rFonts w:ascii="仿宋_GB2312" w:hAnsi="仿宋_GB2312" w:eastAsia="仿宋_GB2312"/>
          <w:b/>
          <w:sz w:val="32"/>
        </w:rPr>
        <w:t>与年初预算相比，</w:t>
      </w:r>
      <w:r>
        <w:rPr>
          <w:rFonts w:ascii="仿宋_GB2312" w:hAnsi="仿宋_GB2312" w:eastAsia="仿宋_GB2312"/>
          <w:b w:val="0"/>
          <w:sz w:val="32"/>
        </w:rPr>
        <w:t>年初预算数3,405.51万元，决算数3,538.42万元，预决算差异率3.90%，主要原因是：本年在职人员增加，年中追加人员经费及人员工资、社保、公积金基数调增部分资金，导致预决算存在差异。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1.社会保障和就业支出（类）221.66万元，占6.26%。</w:t>
      </w:r>
    </w:p>
    <w:p>
      <w:pPr>
        <w:spacing w:line="580" w:lineRule="exact"/>
        <w:ind w:firstLine="640"/>
        <w:jc w:val="both"/>
      </w:pPr>
      <w:r>
        <w:rPr>
          <w:rFonts w:ascii="仿宋_GB2312" w:hAnsi="仿宋_GB2312" w:eastAsia="仿宋_GB2312"/>
          <w:b w:val="0"/>
          <w:sz w:val="32"/>
        </w:rPr>
        <w:t>2.卫生健康支出（类）72.02万元，占2.04%。</w:t>
      </w:r>
    </w:p>
    <w:p>
      <w:pPr>
        <w:spacing w:line="580" w:lineRule="exact"/>
        <w:ind w:firstLine="640"/>
        <w:jc w:val="both"/>
      </w:pPr>
      <w:r>
        <w:rPr>
          <w:rFonts w:ascii="仿宋_GB2312" w:hAnsi="仿宋_GB2312" w:eastAsia="仿宋_GB2312"/>
          <w:b w:val="0"/>
          <w:sz w:val="32"/>
        </w:rPr>
        <w:t>3.住房保障支出（类）3,232.31万元，占91.35%。</w:t>
      </w:r>
    </w:p>
    <w:p>
      <w:pPr>
        <w:spacing w:line="580" w:lineRule="exact"/>
        <w:ind w:firstLine="640"/>
        <w:jc w:val="both"/>
      </w:pPr>
      <w:r>
        <w:rPr>
          <w:rFonts w:ascii="仿宋_GB2312" w:hAnsi="仿宋_GB2312" w:eastAsia="仿宋_GB2312"/>
          <w:b w:val="0"/>
          <w:sz w:val="32"/>
        </w:rPr>
        <w:t>4.其他支出（类）12.42万元，占0.35%。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1.社会保障和就业支出（类）行政事业单位养老支出（款）事业单位离退休（项）：支出决算数为19.94万元，比上年决算增加7.26万元，增长57.26%，主要原因是：本年退休人员增加，退休费支出增加。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134.48万元，比上年决算减少0.66万元，下降0.49%，主要原因是：本年在职人员退休和新入职人员调入职级不同，缴费基数不同，导致养老保险缴费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67.24万元，比上年决算减少0.33万元，下降0.49%，主要原因是：本年在职人员退休和新入职人员调入职级不同，缴费基数不同，导致年金缴费较上年减少。</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67.24万元，比上年决算减少0.33万元，下降0.49%，主要原因是：本年在职人员退休和新入职人员调入职级不同，缴费基数不同，导致医疗缴费较上年减少。</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4.20万元，比上年决算减少0.02万元，下降0.47%，主要原因是：本年在职人员退休和新入职人员调入职级不同，缴费基数不同，导致公务员医疗补助缴费较上年减少。</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6.卫生健康支出（类）行政事业单位医疗（款）其他行政事业单位医疗支出（项）：支出决算数为0.58万元，比上年决算增加0.10万元，增长20.83%，主要原因是：本年在职人员增加，大病医疗保险支出较上年增加。</w:t>
      </w:r>
    </w:p>
    <w:p>
      <w:pPr>
        <w:spacing w:line="580" w:lineRule="exact"/>
        <w:ind w:firstLine="640"/>
        <w:jc w:val="both"/>
      </w:pPr>
      <w:r>
        <w:rPr>
          <w:rFonts w:ascii="仿宋_GB2312" w:hAnsi="仿宋_GB2312" w:eastAsia="仿宋_GB2312"/>
          <w:b w:val="0"/>
          <w:sz w:val="32"/>
        </w:rPr>
        <w:t>7.住房保障支出（类）住房改革支出（款）住房公积金（项）：支出决算数为112.50万元，比上年决算增加3.78万元，增长3.48%，主要原因是：本年在职人员增加，住房公积金支出较上年增加。</w:t>
      </w:r>
    </w:p>
    <w:p>
      <w:pPr>
        <w:spacing w:line="580" w:lineRule="exact"/>
        <w:ind w:firstLine="640"/>
        <w:jc w:val="both"/>
      </w:pPr>
      <w:r>
        <w:rPr>
          <w:rFonts w:ascii="仿宋_GB2312" w:hAnsi="仿宋_GB2312" w:eastAsia="仿宋_GB2312"/>
          <w:b w:val="0"/>
          <w:sz w:val="32"/>
        </w:rPr>
        <w:t>8.住房保障支出（类）城乡社区住宅（款）住房公积金管理（项）：支出决算数为3,119.81万元，比上年决算增加228.67万元，增长7.91%，主要原因是：本年在职人员增加，人员工资调增，相关人员经费增加。</w:t>
      </w:r>
    </w:p>
    <w:p>
      <w:pPr>
        <w:spacing w:line="580" w:lineRule="exact"/>
        <w:ind w:firstLine="640"/>
        <w:jc w:val="both"/>
      </w:pPr>
      <w:r>
        <w:rPr>
          <w:rFonts w:ascii="仿宋_GB2312" w:hAnsi="仿宋_GB2312" w:eastAsia="仿宋_GB2312"/>
          <w:b w:val="0"/>
          <w:sz w:val="32"/>
        </w:rPr>
        <w:t>9.其他支出（类）其他支出（款）其他支出（项）：支出决算数为12.42万元，比上年决算减少8.42万元，下降40.40%，主要原因是：本年减少为民办实事业务经费。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2025年度一般公共预算财政拨款基本支出2,711.14万元，其中：</w:t>
      </w:r>
      <w:r>
        <w:rPr>
          <w:rFonts w:ascii="仿宋_GB2312" w:hAnsi="仿宋_GB2312" w:eastAsia="仿宋_GB2312"/>
          <w:b/>
          <w:sz w:val="32"/>
        </w:rPr>
        <w:t>人员经费2,604.88万元，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公用经费106.26万元，</w:t>
      </w:r>
      <w:r>
        <w:rPr>
          <w:rFonts w:ascii="仿宋_GB2312" w:hAnsi="仿宋_GB2312" w:eastAsia="仿宋_GB2312"/>
          <w:b w:val="0"/>
          <w:sz w:val="32"/>
        </w:rPr>
        <w:t>包括：水费、电费、邮电费、取暖费、物业管理费、培训费、公务接待费、工会经费、福利费、公务用车运行维护费、其他交通费用、其他商品和服务支出。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2025年度财政拨款“三公”经费支出20.91万元，</w:t>
      </w:r>
      <w:r>
        <w:rPr>
          <w:rFonts w:ascii="仿宋_GB2312" w:hAnsi="仿宋_GB2312" w:eastAsia="仿宋_GB2312"/>
          <w:b w:val="0"/>
          <w:sz w:val="32"/>
        </w:rPr>
        <w:t>比上年增加0.11万元，增长0.53%，主要原因是：本年度接待人次较上年增加，导致公务接待费较上年增加。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公务用车购置及运行维护费支出20.75万元，占99.23%，比上年增加0.00万元，增长0.00%，主要原因是：本单位公务用车运行维护费与上年一致无变化。</w:t>
      </w:r>
      <w:r>
        <w:rPr>
          <w:rFonts w:ascii="仿宋_GB2312" w:hAnsi="仿宋_GB2312" w:eastAsia="仿宋_GB2312"/>
          <w:b w:val="0"/>
          <w:sz w:val="32"/>
        </w:rPr>
        <w:t>公务接待费支出0.16万元，占0.77%，比上年增加0.11万元，增长220.00%，主要原因是：本年度接待人次较上年增加，导致公务接待费较上年增加。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20.75万元，其中：公务用车购置费0.00万元，公务用车运行维护费20.75万元。公务用车运行维护费开支内容包括公务用车燃油费、维修维护费、保险费、过路费、新能源车电费。公务用车购置数0辆，公务用车保有量6辆。国有资产占用情况中固定资产车辆6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公务接待费0.16万元，开支内容包括接待公积金行业系统交流学习人员产生的就餐费。单位全年安排的国内公务接待2批次，14人次。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20.91万元，决算数20.91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20.75万元，决算数20.75万元，预决算差异率0.00%，主要原因是：严格按照预算执行，预决算无差异。公务接待费全年预算数0.16万元，决算数0.16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2025年度昌吉回族自治州住房公积金管理中心（事业单位）公用经费支出106.26万元，比上年增加3.58万元，增长3.49%，主要原因是：本年更新、维护补充办公用品，导致公用经费较上年增加。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2025年度政府采购支出总额78.16万元，其中：政府采购货物支出31.46万元、政府采购工程支出0.95万元、政府采购服务支出45.75万元。</w:t>
      </w:r>
    </w:p>
    <w:p>
      <w:pPr>
        <w:spacing w:line="580" w:lineRule="exact"/>
        <w:ind w:firstLine="640"/>
        <w:jc w:val="both"/>
      </w:pPr>
      <w:r>
        <w:rPr>
          <w:rFonts w:ascii="仿宋_GB2312" w:hAnsi="仿宋_GB2312" w:eastAsia="仿宋_GB2312"/>
          <w:b w:val="0"/>
          <w:sz w:val="32"/>
        </w:rPr>
        <w:t>授予中小企业合同金额38.27万元，占政府采购支出总额的48.96%，其中：授予小微企业合同金额38.27万元，占政府采购支出总额的48.96%。</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12,384.59平方米，价值4,171.24万元。车辆6辆，价值119.69万元，其中：副部（省）级及以上领导用车0辆、主要负责人用车0辆、机要通信用车0辆、应急保障用车0辆、执法执勤用车0辆、特种专业技术用车0辆、离退休干部服务用车0辆、其他用车6辆，其他用车主要是：一般公务用车。单价100万元（含）以上设备（不含车辆）3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3,538.42万元，实际执行总额3,538.42万元；预算绩效评价项目2个，全年预算数850.00万元，全年执行数794.01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绩效设置精细化程度有待完善。由于房地产市场受经济环境、城镇化速度、楼盘质量等多重因素影响，因此在三级指标设置上不仅需要分析测算历史住房公积金贷款发放量，还需具备前瞻性、动态性思维，进一步提升绩效指标的明确性、准确度；二是运用大数据分析能力还需提升。预算执行过程中运用大数据进行分析和统计的能力还需进一步完善，预算编制管理水平仍有进一步提升的空间。下一步改进措施：一是高度重视财政预决算工作，加大绩效工作宣传力度，加强预算的约束力；二是强化绩效理念，强化业务人员整体素质；三是加强对绩效的管理培训工作，设置目标时考虑目标的可实现，尽量做到目标的细化量化、明确清晰。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昌吉回族自治州住房公积金管理中心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3,405.51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3,538.42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3,538.42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3,405.51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3,538.42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3,538.42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心坚持以习近平新时代中国特色社会主义思想为指导，深入学习贯彻二十届三中全会，坚持“租购并举”定位，坚持住房公积金的初心，优化营商环境，深化“放管服”改革，围绕群众“急难愁盼”调整优化住房公积金政策，提升数据质量，推动数字化发展，全面畅通各类在线服务渠道，让缴存单位和职工真正实现随时办、指尖办；持续推进强管理、优服务、防风险、提质效，不断推动各项工作圆满完成。</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年我单位全年预算数为3538.42万元，全年执行数为3538.42 万元，总预算执行率为100%。2025 年我单位完成以下工作内容：1.归集大于等于39亿元；2.贷款小于等于12.5亿元；3.提取小于等于30亿元；4.逾期率小于等于千分之1.5；5.增值收益小于等于1.24亿元。通过以上工作的实施，全州住房公积金运行态势平稳健康，主要业务指标实现稳中有进。正常缴存单位达4168个，缴存人数17.02万人；缴存总额399.16亿元，当年缴存39.98亿元，同比增长6.98%；提取总额266.82亿元，当年为51.34万人次提取30.33亿元，同比增长0.80%；累计发放贷款251.86亿元，当年发放贷款12.96亿元，同比增长0.16%，支持3398户职工家庭购房40.32万平方米；期末个贷率71.75%，贷款逾期率稳定在0.5‰以内，全年实现增值收益1.54亿元，群众满意度达99.87%。资金均保留两位小数。</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住房公积金归集</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&gt;=39亿元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昌吉州住房公积金管理中心2025年重点工作计划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39.98亿元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住房公积金贷款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&lt;=12.5亿元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昌吉州住房公积金管理中心2025年重点工作计划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12.96亿元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住房公积金提取</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昌吉州住房公积金管理中心2025年重点工作计划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30.33亿元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住房公积金贷款逾期率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建金管【2005】123号建设部、财政部关于印发《住房公积金管理中心业务管理工作考核办法（试行）的通知》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住房公积金增值收益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昌吉州住房公积金管理中心2024年度增值收益分配和管理费用财务决算及2025年度增值收益预算情况和管理费用财务预算的报告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1.54亿元”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住房公积金管理服务</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昌吉回族自治州住房公积金管理中心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昌吉回族自治州住房公积金管理中心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489.61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489.61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维护社会稳定，确保房地产市场健康稳定发展，坚持房子是用来住的，扩大住房公积金的覆盖面，2025年住房公积金项目坚持总目标为统领，提升公积金服务，实现数字化公积金管理，推进住房公积金事业高质量发展。该项目545万元，计划用于单位在编人员、聘用人员工作正常开展，更好地为广大缴存职工服务，开展4批次宣传，印刷2次，案件起诉10个、工会经费及食堂补助12次，个人住房公积金贷款逾期率不超过0.50‰。办公经费及律师费及时充足，积极落实逾期贷款催收措施，降低逾期率，防范风险，扩大住房公积金的覆盖面，保障职工合法权益实现。实现增值收益至少1.22亿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489.61万元，资金执行率91.86，本项目为维护社会稳定，确保房地产市场健康稳定发展提供坚实保障，实际完成各县市管理部餐补、物业管理费、厨师和保安人员管理费支付12次，完成1-12月逾期案件产生的律师费、公证费、公告费等，有效扩大住房公积金的覆盖面，2025年住房公积金项目坚持总目标为统领，提升公积金服务，实现数字化公积金管理，推进住房公积金事业高质量发展。该项目545万元，计划用于单位在编人员、聘用人员工作正常开展，更好地为广大缴存职工服务，开展4批次宣传，印刷2次，案件起诉10个、工会经费及食堂补助12次，个人住房公积金贷款逾期率不超过0.50‰。办公经费及律师费及时充足，积极落实逾期贷款催收措施，降低逾期率，防范风险，扩大住房公积金的覆盖面，保障职工合法权益实现，实现增值收益1.69亿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工会经费及食堂补助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起诉案件数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采购物资验收合格率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此指标已完成，存在偏差，偏差率为-5.26%，偏差原因为验收合格率超预期。下一年度改进措施：提高验收合格率指标准确性，确保后续实现预计目标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个人住房公积金贷款逾期率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&lt;=41.25万元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此指标已完成，存在偏差，偏差率为6.64%，偏差原因为项目人员严格控制物业管理费项目支出，项目等支出，结余2.74万元。下一年度改进措施：提高预算编制准确性，确保后续各类项目严格按照预算进行支出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&lt;=221.63万元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1.60%，偏差原因为委托业务费中律师咨询费、公证费等费用耗时周期长，部分案件款项未到报销流程，结余3.54万元，下一年度改进措施：提高预算编制准确性，确保后续各类项目严格按照预算进行支出。1.6</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工会经费及食堂补助费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&lt;=91.10万元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0.64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此指标已完成，存在偏差，偏差率为14.6%，偏差原因项目人员严格控制福利费、餐补、值班餐费支出，结余13.3万元，下一年度改进措施：提高预算编制准确性，确保后续各类项目严格按照预算进行支出。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32.8%，偏差原因国产化信创替代需进行设备配试，周期约为2-3个月，故目前仅履行30%货款，还有70%货款待完成配验后于次年完成支付，结余8.05万元，下一年度改进措施：及时调试设备，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运转经费数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17.91%，偏差原因为项目人员严格控制差旅费、水费、电费、办公费等支出，结余25.75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实现增值收益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&gt;=14700万元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=15400万元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=20612.04万元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此指标已完成，存在偏差，偏差率为-4.76%，偏差原因为超额实现增值收益。下一年度改进措施：提高增值收益编制准确性，确保后续实现预计目标。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服务缴存职工能力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缴存职工满意度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此指标已完成，存在偏差，偏差率为-10.96%，偏差原因为满意度超预期。下一年度改进措施：提高增值满意度指标准确性，确保后续实现预计目标。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信息化建设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昌吉回族自治州住房公积金管理中心本级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昌吉回族自治州住房公积金管理中心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年初制定的工作计划，有序开展信息化建设项目，通过对公积金业务系统、华为云平台及综合服务平台3个平台系统进行运行维护及中心至各县28条线路的运行优化，保障中心业务、办公系统正常运行，稳步推进中心信息化建设工作，有效防范风险，努力实现“信息多跑路，群众少跑腿”工作目标。该项目317万元，其中：计划用于业务应用系统、综合服务平台、华云平台、电子签单的维护费用277.80万元，中心28条线路租用的费用38.6万元，邮电费0.6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304.40万元，资金执行率96.03%，本项目实际完成昌吉州住房公积金业务系统、华为云平台及综合服务平台3个平台系统进行运行维护及中心至各县28条线路的运行优化，通过本项目的实施保障了我州住房公积金业务系统、办公系统正常运行，稳步推进我州住房公积金信息化建设工作，有效防范风险，努力实现“信息多跑路，群众少跑腿”工作目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信息系统维护数量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信息化线路数量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系统故障响应时间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信息系统维护成本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根据住建厅住房公积金监管司工作要求，为进一步提升维护公司工作质效，需扣除部分费用，故相关指标支付进度低于100%，因而产生偏差；偏差改进措施：我单位将在后续项目申报过程中细化实施方案编制工作流程，将全年工作任务合理分配至各时段，确保工作按期及时完成降低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信息化线路成本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信息化成本预算编制不够精准细致，故相关指标完成率小于序时进度100%，因而产生偏差；偏差改进措施：我单位将在后续信息化线路成本申报过程中细化实施方案编制工作流程，将全年工作任务合理分配至各时段，确保工作按期及时完成降低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稳步推进中心信息化建设工作，有效防范风险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缴存职工满意度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本年本单位其他项目1个，全年预算数10万元，全年执行数10万元。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