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昌吉回族自治州政务服务和公共资源交易中心</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负责对进驻州政务大厅开展政务服务的单位做好服务、协调、监督、管理工作，对各县市政务服务工作进行指导；对纳入昌吉州公共资源交易目录的交易项目，提供交易场所、专家抽取、交易过程见证、信息公告发布、档案查询等管理和服务；建设政务服务和公共资源交易信息化平台并推广应用；负责“放管服”改革和优化营商环境推进落实工作的指导督促、统筹协调和绩效考核；负责自治州12345政务服务便民热线的整合、受理、转办及督办，负责热线平台的规划建设和运行管理，指导监督政务服务便民热线工作。</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昌吉回族自治州政务服务和公共资源交易中心无下属预算单位。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2025年度收入总计1,597.27万元，</w:t>
      </w:r>
      <w:r>
        <w:rPr>
          <w:rFonts w:ascii="仿宋_GB2312" w:hAnsi="仿宋_GB2312" w:eastAsia="仿宋_GB2312"/>
          <w:b w:val="0"/>
          <w:sz w:val="32"/>
        </w:rPr>
        <w:t>其中：本年收入合计1,480.89万元，使用非财政拨款结余（含专用结余）116.39万元，年初结转和结余0.00万元。</w:t>
      </w:r>
    </w:p>
    <w:p>
      <w:pPr>
        <w:spacing w:line="580" w:lineRule="exact"/>
        <w:ind w:firstLine="640"/>
        <w:jc w:val="both"/>
      </w:pPr>
      <w:r>
        <w:rPr>
          <w:rFonts w:ascii="仿宋_GB2312" w:hAnsi="仿宋_GB2312" w:eastAsia="仿宋_GB2312"/>
          <w:b/>
          <w:sz w:val="32"/>
        </w:rPr>
        <w:t>2025年度支出总计1,597.27万元，</w:t>
      </w:r>
      <w:r>
        <w:rPr>
          <w:rFonts w:ascii="仿宋_GB2312" w:hAnsi="仿宋_GB2312" w:eastAsia="仿宋_GB2312"/>
          <w:b w:val="0"/>
          <w:sz w:val="32"/>
        </w:rPr>
        <w:t>其中：本年支出合计1,597.27万元，结余分配0.00万元，年末结转和结余0.00万元。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减少80.33万元，下降4.79%，主要原因是：本年在职人员减少，相关人员经费较上年减少。</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本年收入1,480.89万元，</w:t>
      </w:r>
      <w:r>
        <w:rPr>
          <w:rFonts w:ascii="仿宋_GB2312" w:hAnsi="仿宋_GB2312" w:eastAsia="仿宋_GB2312"/>
          <w:b w:val="0"/>
          <w:sz w:val="32"/>
        </w:rPr>
        <w:t>其中：财政拨款收入1,479.95万元，占99.94%；上级补助收入0.00万元，占0.00%；事业收入0.00万元，占0.00%；经营收入0.00万元，占0.00%；附属单位上缴收入0.00万元，占0.00%；其他收入0.94万元，占0.06%。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本年支出1,597.27万元，</w:t>
      </w:r>
      <w:r>
        <w:rPr>
          <w:rFonts w:ascii="仿宋_GB2312" w:hAnsi="仿宋_GB2312" w:eastAsia="仿宋_GB2312"/>
          <w:b w:val="0"/>
          <w:sz w:val="32"/>
        </w:rPr>
        <w:t>其中：基本支出745.86万元，占46.70%；项目支出851.41万元，占53.30%；上缴上级支出0.00万元，占0.00%；经营支出0.00万元，占0.00%；对附属单位补助支出0.00万元，占0.00%。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2025年度财政拨款收入总计1,479.95万元，</w:t>
      </w:r>
      <w:r>
        <w:rPr>
          <w:rFonts w:ascii="仿宋_GB2312" w:hAnsi="仿宋_GB2312" w:eastAsia="仿宋_GB2312"/>
          <w:b w:val="0"/>
          <w:sz w:val="32"/>
        </w:rPr>
        <w:t>其中：年初财政拨款结转和结余0.00万元，本年财政拨款收入1,479.95万元。</w:t>
      </w:r>
      <w:r>
        <w:rPr>
          <w:rFonts w:ascii="仿宋_GB2312" w:hAnsi="仿宋_GB2312" w:eastAsia="仿宋_GB2312"/>
          <w:b/>
          <w:sz w:val="32"/>
        </w:rPr>
        <w:t>财政拨款支出总计1,479.95万元，</w:t>
      </w:r>
      <w:r>
        <w:rPr>
          <w:rFonts w:ascii="仿宋_GB2312" w:hAnsi="仿宋_GB2312" w:eastAsia="仿宋_GB2312"/>
          <w:b w:val="0"/>
          <w:sz w:val="32"/>
        </w:rPr>
        <w:t>其中：年末财政拨款结转和结余0.00万元，本年财政拨款支出1,479.95万元。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减少110.53万元，下降6.95%，主要原因是：本年在职人员减少，相关人员经费较上年减少。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年初预算数1,964.55万元，决算数1,479.95万元，预决算差异率-24.67%，主要原因是：年中调减机构运行补助经费项目资金，导致预决算存在差异。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保障机构运行、政务服务保障、公共资源交易平台运维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政府办公厅（室）及相关机构事务（款）一般行政管理事务（项）的支出占本年财政拨款支出总额的比重最高，2025年度决算数为728.60万元，占比49.23%，主要用于昌吉州公共资源交易平台等保测评国密算法改造测评以及平台运维项目、昌吉州公共资源交易信息化建设项目等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2025年度一般公共预算财政拨款支出1,479.95万元，</w:t>
      </w:r>
      <w:r>
        <w:rPr>
          <w:rFonts w:ascii="仿宋_GB2312" w:hAnsi="仿宋_GB2312" w:eastAsia="仿宋_GB2312"/>
          <w:b w:val="0"/>
          <w:sz w:val="32"/>
        </w:rPr>
        <w:t>占本年支出合计的92.65%。</w:t>
      </w:r>
      <w:r>
        <w:rPr>
          <w:rFonts w:ascii="仿宋_GB2312" w:hAnsi="仿宋_GB2312" w:eastAsia="仿宋_GB2312"/>
          <w:b/>
          <w:sz w:val="32"/>
        </w:rPr>
        <w:t>与上年相比，</w:t>
      </w:r>
      <w:r>
        <w:rPr>
          <w:rFonts w:ascii="仿宋_GB2312" w:hAnsi="仿宋_GB2312" w:eastAsia="仿宋_GB2312"/>
          <w:b w:val="0"/>
          <w:sz w:val="32"/>
        </w:rPr>
        <w:t>减少110.53万元，下降6.95%，主要原因是：本年在职人员减少，相关人员经费较上年减少。</w:t>
      </w:r>
      <w:r>
        <w:rPr>
          <w:rFonts w:ascii="仿宋_GB2312" w:hAnsi="仿宋_GB2312" w:eastAsia="仿宋_GB2312"/>
          <w:b/>
          <w:sz w:val="32"/>
        </w:rPr>
        <w:t>与年初预算相比，</w:t>
      </w:r>
      <w:r>
        <w:rPr>
          <w:rFonts w:ascii="仿宋_GB2312" w:hAnsi="仿宋_GB2312" w:eastAsia="仿宋_GB2312"/>
          <w:b w:val="0"/>
          <w:sz w:val="32"/>
        </w:rPr>
        <w:t>年初预算数1,964.55万元，决算数1,479.95万元，预决算差异率-24.67%，主要原因是：年中调减机构运行补助经费项目资金，导致预决算存在差异。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1.一般公共服务支出（类）1,279.65万元，占86.47%。</w:t>
      </w:r>
    </w:p>
    <w:p>
      <w:pPr>
        <w:spacing w:line="580" w:lineRule="exact"/>
        <w:ind w:firstLine="640"/>
        <w:jc w:val="both"/>
      </w:pPr>
      <w:r>
        <w:rPr>
          <w:rFonts w:ascii="仿宋_GB2312" w:hAnsi="仿宋_GB2312" w:eastAsia="仿宋_GB2312"/>
          <w:b w:val="0"/>
          <w:sz w:val="32"/>
        </w:rPr>
        <w:t>2.社会保障和就业支出（类）93.31万元，占6.30%。</w:t>
      </w:r>
    </w:p>
    <w:p>
      <w:pPr>
        <w:spacing w:line="580" w:lineRule="exact"/>
        <w:ind w:firstLine="640"/>
        <w:jc w:val="both"/>
      </w:pPr>
      <w:r>
        <w:rPr>
          <w:rFonts w:ascii="仿宋_GB2312" w:hAnsi="仿宋_GB2312" w:eastAsia="仿宋_GB2312"/>
          <w:b w:val="0"/>
          <w:sz w:val="32"/>
        </w:rPr>
        <w:t>3.卫生健康支出（类）51.26万元，占3.46%。</w:t>
      </w:r>
    </w:p>
    <w:p>
      <w:pPr>
        <w:spacing w:line="580" w:lineRule="exact"/>
        <w:ind w:firstLine="640"/>
        <w:jc w:val="both"/>
      </w:pPr>
      <w:r>
        <w:rPr>
          <w:rFonts w:ascii="仿宋_GB2312" w:hAnsi="仿宋_GB2312" w:eastAsia="仿宋_GB2312"/>
          <w:b w:val="0"/>
          <w:sz w:val="32"/>
        </w:rPr>
        <w:t>4.资源勘探工业信息等支出（类）0.49万元，占0.03%。</w:t>
      </w:r>
    </w:p>
    <w:p>
      <w:pPr>
        <w:spacing w:line="580" w:lineRule="exact"/>
        <w:ind w:firstLine="640"/>
        <w:jc w:val="both"/>
      </w:pPr>
      <w:r>
        <w:rPr>
          <w:rFonts w:ascii="仿宋_GB2312" w:hAnsi="仿宋_GB2312" w:eastAsia="仿宋_GB2312"/>
          <w:b w:val="0"/>
          <w:sz w:val="32"/>
        </w:rPr>
        <w:t>5.住房保障支出（类）47.21万元，占3.19%。</w:t>
      </w:r>
    </w:p>
    <w:p>
      <w:pPr>
        <w:spacing w:line="580" w:lineRule="exact"/>
        <w:ind w:firstLine="640"/>
        <w:jc w:val="both"/>
      </w:pPr>
      <w:r>
        <w:rPr>
          <w:rFonts w:ascii="仿宋_GB2312" w:hAnsi="仿宋_GB2312" w:eastAsia="仿宋_GB2312"/>
          <w:b w:val="0"/>
          <w:sz w:val="32"/>
        </w:rPr>
        <w:t>6.其他支出（类）8.03万元，占0.54%。</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政府办公厅（室）及相关机构事务（款）行政运行（项）：支出决算数为401.62万元，比上年决算增加106.76万元，增长36.21%，主要原因是：本年单位聘用人员薪酬按照核算口径，在公用经费下劳务费科目进行列支，导致本年度公用经费支出相应增加。</w:t>
      </w:r>
    </w:p>
    <w:p>
      <w:pPr>
        <w:spacing w:line="580" w:lineRule="exact"/>
        <w:ind w:firstLine="640"/>
        <w:jc w:val="both"/>
      </w:pPr>
      <w:r>
        <w:rPr>
          <w:rFonts w:ascii="仿宋_GB2312" w:hAnsi="仿宋_GB2312" w:eastAsia="仿宋_GB2312"/>
          <w:b w:val="0"/>
          <w:sz w:val="32"/>
        </w:rPr>
        <w:t>2.一般公共服务支出（类）政府办公厅（室）及相关机构事务（款）一般行政管理事务（项）：支出决算数为728.60万元，比上年决算减少187.30万元，下降20.45%，主要原因是：本年减少12345云呼叫中心平台技术服务运维费项目。</w:t>
      </w:r>
    </w:p>
    <w:p>
      <w:pPr>
        <w:spacing w:line="580" w:lineRule="exact"/>
        <w:ind w:firstLine="640"/>
        <w:jc w:val="both"/>
      </w:pPr>
      <w:r>
        <w:rPr>
          <w:rFonts w:ascii="仿宋_GB2312" w:hAnsi="仿宋_GB2312" w:eastAsia="仿宋_GB2312"/>
          <w:b w:val="0"/>
          <w:sz w:val="32"/>
        </w:rPr>
        <w:t>3.一般公共服务支出（类）政府办公厅（室）及相关机构事务（款）事业运行（项）：支出决算数为149.43万元，比上年决算减少46.48万元，下降23.73%，主要原因是：本年在职人员减少，相应人员经费较上年减少。</w:t>
      </w:r>
    </w:p>
    <w:p>
      <w:pPr>
        <w:spacing w:line="580" w:lineRule="exact"/>
        <w:ind w:firstLine="640"/>
        <w:jc w:val="both"/>
      </w:pPr>
      <w:r>
        <w:rPr>
          <w:rFonts w:ascii="仿宋_GB2312" w:hAnsi="仿宋_GB2312" w:eastAsia="仿宋_GB2312"/>
          <w:b w:val="0"/>
          <w:sz w:val="32"/>
        </w:rPr>
        <w:t>4.一般公共服务支出（类）政府办公厅（室）及相关机构事务（款）其他政府办公厅（室）及相关机构事务支出（项）：支出决算数为0.00万元，比上年决算减少3.50万元，下降100.00%，主要原因是：本年减少租赁公务用车费用。</w:t>
      </w:r>
    </w:p>
    <w:p>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5.社会保障和就业支出（类）行政事业单位养老支出（款）行政单位离退休（项）：支出决算数为6.33万元，比上年决算增加2.33万元，增长58.25%，主要原因是：本年增加退休人员基础绩效奖，退休费支出增加。</w:t>
      </w:r>
    </w:p>
    <w:p>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57.99万元，比上年决算减少1.09万元，下降1.84%，主要原因是：本年在职人员减少，单位基本养老保险缴费较上年减少。</w:t>
      </w:r>
    </w:p>
    <w:p>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28.99万元，比上年决算减少0.55万元，下降1.86%，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8.卫生健康支出（类）行政事业单位医疗（款）行政单位医疗（项）：支出决算数为18.72万元，比上年决算增加3.81万元，增长25.55%，主要原因是：本年在职人员工资基数调增，医疗缴费基数上涨，相应支出增加。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9.卫生健康支出（类）行政事业单位医疗（款）事业单位医疗（项）：支出决算数为17.09万元，比上年决算增加2.46万元，增长16.81%，主要原因是：本年在职人员工资基数调增，医疗缴费基数上涨，相应支出增加。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公务员医疗补助（项）：支出决算数为15.08万元，比上年决算增加13.23万元，增长715.14%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0.38万元，比上年决算增加0.15万元，增长65.22%，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资源勘探工业信息等支出（类）制造业（款）通信设备、计算机及其他电子设备制造业（项）：支出决算数为0.49万元，比上年决算增加0.49万元，增长100.00%，主要原因是：本年增加中央基建投资预算第二批项目资金。</w:t>
      </w:r>
    </w:p>
    <w:p>
      <w:pPr>
        <w:spacing w:line="580" w:lineRule="exact"/>
        <w:ind w:firstLine="640"/>
        <w:jc w:val="both"/>
      </w:pPr>
      <w:r>
        <w:rPr>
          <w:rFonts w:ascii="仿宋_GB2312" w:hAnsi="仿宋_GB2312" w:eastAsia="仿宋_GB2312"/>
          <w:b w:val="0"/>
          <w:sz w:val="32"/>
        </w:rPr>
        <w:t>13.住房保障支出（类）住房改革支出（款）住房公积金（项）：支出决算数为47.21万元，比上年决算减少0.23万元，下降0.48%，主要原因是：本年在职人员减少，住房公积金缴费较上年减少。</w:t>
      </w:r>
    </w:p>
    <w:p>
      <w:pPr>
        <w:spacing w:line="580" w:lineRule="exact"/>
        <w:ind w:firstLine="640"/>
        <w:jc w:val="both"/>
      </w:pPr>
      <w:r>
        <w:rPr>
          <w:rFonts w:ascii="仿宋_GB2312" w:hAnsi="仿宋_GB2312" w:eastAsia="仿宋_GB2312"/>
          <w:b w:val="0"/>
          <w:sz w:val="32"/>
        </w:rPr>
        <w:t>14.其他支出（类）其他支出（款）其他支出（项）：支出决算数为8.03万元，比上年决算减少0.61万元，下降7.06%，主要原因是：本年减少自治区补助经费为民办实事经费。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2025年度一般公共预算财政拨款基本支出745.86万元，其中：</w:t>
      </w:r>
      <w:r>
        <w:rPr>
          <w:rFonts w:ascii="仿宋_GB2312" w:hAnsi="仿宋_GB2312" w:eastAsia="仿宋_GB2312"/>
          <w:b/>
          <w:sz w:val="32"/>
        </w:rPr>
        <w:t>人员经费570.40万元，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pPr>
        <w:spacing w:line="580" w:lineRule="exact"/>
        <w:ind w:firstLine="640"/>
        <w:jc w:val="both"/>
      </w:pPr>
      <w:r>
        <w:rPr>
          <w:rFonts w:ascii="仿宋_GB2312" w:hAnsi="仿宋_GB2312" w:eastAsia="仿宋_GB2312"/>
          <w:b/>
          <w:sz w:val="32"/>
        </w:rPr>
        <w:t>公用经费175.46万元，</w:t>
      </w:r>
      <w:r>
        <w:rPr>
          <w:rFonts w:ascii="仿宋_GB2312" w:hAnsi="仿宋_GB2312" w:eastAsia="仿宋_GB2312"/>
          <w:b w:val="0"/>
          <w:sz w:val="32"/>
        </w:rPr>
        <w:t>包括：办公费、印刷费、邮电费、取暖费、差旅费、维修（护）费、租赁费、培训费、公务接待费、劳务费、委托业务费、工会经费、福利费、公务用车运行维护费、其他交通费用、其他商品和服务支出。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2025年度财政拨款“三公”经费支出7.04万元，</w:t>
      </w:r>
      <w:r>
        <w:rPr>
          <w:rFonts w:ascii="仿宋_GB2312" w:hAnsi="仿宋_GB2312" w:eastAsia="仿宋_GB2312"/>
          <w:b w:val="0"/>
          <w:sz w:val="32"/>
        </w:rPr>
        <w:t>比上年减少1.45万元，下降17.08%，主要原因是：严格落实中央八项规定精神，厉行节约，减少公务用车运行维护费。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公务用车购置及运行维护费支出6.96万元，占98.86%，比上年减少1.34万元，下降16.14%，主要原因是：严格落实中央八项规定精神，厉行节约，减少公务用车运行维护费。</w:t>
      </w:r>
      <w:r>
        <w:rPr>
          <w:rFonts w:ascii="仿宋_GB2312" w:hAnsi="仿宋_GB2312" w:eastAsia="仿宋_GB2312"/>
          <w:b w:val="0"/>
          <w:sz w:val="32"/>
        </w:rPr>
        <w:t>公务接待费支出0.08万元，占1.14%，比上年减少0.11万元，下降57.89%，主要原因是：严格落实中央八项规定精神，厉行节约，减少公务接待费。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6.96万元，其中：公务用车购置费0.00万元，公务用车运行维护费6.96万元。公务用车运行维护费开支内容包括车辆加油费、维修费、保险费、审车费、过路费等。公务用车购置数0辆，公务用车保有量2辆。国有资产占用情况中固定资产车辆1辆，与公务用车保有量差异原因是：借用其他单位车辆，车辆费用由本单位财政拨款公务用车运行维护费支付。</w:t>
      </w:r>
    </w:p>
    <w:p>
      <w:pPr>
        <w:spacing w:line="580" w:lineRule="exact"/>
        <w:ind w:firstLine="640"/>
        <w:jc w:val="both"/>
      </w:pPr>
      <w:r>
        <w:rPr>
          <w:rFonts w:ascii="仿宋_GB2312" w:hAnsi="仿宋_GB2312" w:eastAsia="仿宋_GB2312"/>
          <w:b w:val="0"/>
          <w:sz w:val="32"/>
        </w:rPr>
        <w:t>公务接待费0.08万元，开支内容包括接待上级单位来人检查餐费。单位全年安排的国内公务接待1批次，8人次。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7.04万元，决算数7.04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6.96万元，决算数6.96万元，预决算差异率0.00%，主要原因是：严格按照预算执行，预决算无差异。公务接待费全年预算数0.08万元，决算数0.08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政务服务和公共资源交易中心（事业单位）公用经费支出175.46万元，比上年增加134.13万元，增长324.53%，主要原因是：本年单位聘用人员薪酬按照核算口径，在公用经费下劳务费科目进行列支，导致本年度公用经费支出相应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2025年度政府采购支出总额231.32万元，其中：政府采购货物支出55.45万元、政府采购工程支出0.00万元、政府采购服务支出175.87万元。</w:t>
      </w:r>
    </w:p>
    <w:p>
      <w:pPr>
        <w:spacing w:line="580" w:lineRule="exact"/>
        <w:ind w:firstLine="640"/>
        <w:jc w:val="both"/>
      </w:pPr>
      <w:r>
        <w:rPr>
          <w:rFonts w:ascii="仿宋_GB2312" w:hAnsi="仿宋_GB2312" w:eastAsia="仿宋_GB2312"/>
          <w:b w:val="0"/>
          <w:sz w:val="32"/>
        </w:rPr>
        <w:t>授予中小企业合同金额231.32万元，占政府采购支出总额的100.00%，其中：授予小微企业合同金额231.32万元，占政府采购支出总额的100.00%。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1辆，价值28.30万元，其中：副部（省）级及以上领导用车0辆、主要负责人用车0辆、机要通信用车0辆、应急保障用车0辆、执法执勤用车0辆、特种专业技术用车0辆、离退休干部服务用车0辆、其他用车1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1,597.27万元，实际执行总额1,597.27万元；预算绩效评价项目3个，全年预算数273.96万元，全年执行数273.10万元。预算绩效管理取得的成效：一是完成2025年度整体支出绩效自评工作，严格落实预算绩效管理各项要求，强化财政资金全过程管控，保障中心机构正常运转。二是聚焦政务服务、公共资源交易主责主业，保障公共资源交易平台运维、信息化系统建设、平台安全测评等项目有序实施，持续优化政务服务和交易环境，提升公共资源交易规范化水平，充分发挥财政资金使用效益。发现的问题及原因：一是绩效指标体系仍需优化，部分业务指标偏定性描述，信息化、交易服务类项目量化指标设置不够精细。原因：编制绩效目标时，对平台运维类项目产出指标量化测算不够充分，部分服务成效指标较难精准量化。二是绩效动态监控深度不足，绩效监控与业务工作融合不够紧密，对项目实施进度跟踪频次有待加强。原因：绩效日常管理力量有限，绩效监控多集中在节点填报，常态化绩效跟踪机制不够完善。下一步改进措施：一是优化绩效指标设置，结合政务服务、公共资源交易、信息化平台运维业务特点，科学设置可量化、可考核的绩效指标，提升绩效目标精准度。二是做实全过程绩效监控，将绩效监控嵌入平台运维、信息化建设、安全测评等项目全流程，定期跟踪资金执行与项目实施进度，及时发现、纠正执行偏差。三是强化绩效评价结果运用，将绩效自评结果作为下一年度预算编制、项目安排的重要依据，持续提高财政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昌吉回族自治州政务服务和公共资源交易中心</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1,534.96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1,474.94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1,474.94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1,674.96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1,597.27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1,597.27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昌吉州政务服务和公共资源交易中心将深入贯彻中央、自治区、州工作要求，重点围绕利企便民能力提升，不断提升公共资源交易标准化、规范化、便利化水平，为昌吉州经济高质量发展提供有力支撑。深化公共资源交易改革、持续完成平台建设推进数据资源共享。进一步改善公共资源交易环境，持续推进电子保函的推广应用，加强对代理机构及从业人员的管理，提升公共资源交易平台数据共享和分析能力，完成定点会议、定点加油、广告、印刷框架协议采购，拓宽公共资源交易信息公开渠道。</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 年我单位全年预算数为1597.27万元，全年执行数1597.27万元。2025年我单位完成以下工作内容：1.2025年为民办实事经费项目安排预算资金5.00万元，项目支出5.00万元；2.昌吉州公共资源交易平台改造项目安排预算资金 29.36万元，项目支出 29.36万元；3.昌吉州公共资源交易信息化建设项目安排预算资金507.28万元，目支出507.28万元；4.昌吉州政资中心交易大厅家具采购项目安排预算资金38.00万元，项目支出38.00万元；5.机构运行补助经费项目安排预算资金14.06万元，项目支出14.06万元；6.政资中心电子档案刻录配套硬件设备资金项目安排预算资金12.9万元，项目支出12.9万元；7.昌吉州公共资源交易平台等保测评国密算法改造测评以及平台运维项目安排预算资金127万元，项目支出127万元。通过以上工作的实施，实现了工作质效，打造了科学化、规范化交易平台；通过软硬件一体化建设，优化创新公共资源交易发展体制，实现了对公共资源交易场地统筹设计，通过为各个交易主体提供完善的招投标评标功能以及优质的综合场地管理服务，来打造国内领先、疆内一流的新型智慧交易中心。</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搭建信息化建设平台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《关于深化公共资源交易平台整合共享的指导 意见》（国办函〔2019〕41 号）《关于创新完善体制机制推动招标投标市场规 范健康发展的意见》（国办发〔2024〕21 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对接政采云项目数量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《新疆维吾尔自治区深化公共资源交易平台整 合共享工作方案》(新政办函〔2019〕250 号) 附件 1-4.《昌吉州关于加快公共资源交易</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管理代理机构数量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&gt;=387家</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《中华人民共和国招标投标法》《全国工程建设项目招标代理机构行业标准规范》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管理代理从业人员</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&gt;=2226人</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《招标代理服务规范》《中华人民共和国政府采购法》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2242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政资中心电子档案刻录配套硬件设备资金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昌吉回族自治州公共资源交易中心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昌吉回族自治州政务服务和公共资源交易中心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强电子档案备份工作，购买电子档案刻录需配备全自动蓝光光盘打印刻录一体机、采集刻录软件、电子防潮防磁柜、档案级蓝光光盘等配套软硬件设备，增加使用蓝光光盘刻录方式离线保存昌吉州公共资源交易电子档案。保障全州公共资源交易数据长期保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12.9万元，资金执行率100%，本项目实际完成全自动蓝光光盘打印刻录一体机及刻录软件1套，电子防潮防磁柜3组，档案级蓝光光盘3000个，光盘刻录数据保存完整率98%；通过本项目的实施，加强了电子档案备份工作，对电子档案、电子档案管理信息系统等进行完整备份，提升了对于需要长期保存的数据，无需数据迁移及修复，减少了使用成本，促进了蓝光光盘刻录方式离线保存昌吉州公共资源交易电子档案，保障全州公共资源交易数据长期保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全自动蓝光光盘打印刻录一体机及刻录软件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电子防潮防磁柜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&gt;=3组</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档案级蓝光光盘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光盘刻录数据保存完整率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1.02%。偏差原因：我单位设定该完整率目标时，秉持审慎原则，结合【政资中心电子档案刻录配套硬件设备资金】项目需求，重点保障电子档案刻录配套硬件设备正常运行，合理使用项目资金，规范光盘刻录操作流程、强化数据保存管控，满足电子档案数据保存的基本要求，未充分预估硬件设备升级优化、操作流程规范及工作人员专业能力提升后带来的良好成效，导致实际光盘刻录数据保存完整率高于预期。下一年度改进措施：总结本次电子档案刻录及硬件设备运维工作经验，结合工作实际，优化光盘刻录操作流程、加强硬件设备日常运维，适当上调数据保存完整率目标，合理调配项目资金，充分发挥资金保障作用，持续提升电子档案数据保存质量，确保政务服务和公共资源交易电子档案安全、完整留存。</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全自动光盘打印刻录一体机及刻录软件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防磁柜/电子防潮防磁柜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蓝光光盘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保障全州公共资源交易数据长期保存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1.02%，偏差原因为：我单位在前期设定满意度指标时，为确保项目产出的安全性和底线思维，设定了≥98%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昌吉州公共资源交易平台等保测评、国密算法改造测评以及平台运维项目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昌吉回族自治州公共资源交易中心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昌吉回族自治州政务服务和公共资源交易中心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2025年计划投入127万元，项目计划完成昌吉州政资中心公共资源交易平台等保测评1次，国密算法改造测评服务1次；平台系统运维服务1次，通过项目实施，修复系统问题和漏洞，提高系统故障降低率，保障平台稳定、可靠、安全运行，确保业务可持续开展，提高群众及企业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127万元，资金执行率100%，本项目实际完成公共资源交易平台等保测评服务次数1次，完成昌吉州政资中心公共资源交易平台国密算法改造测评服务1次，平台系统运维服务1次，通过项目实施，修复系统问题和漏洞，提高系统故障降低率，保障平台稳定、可靠、安全运行，确保业务可持续开展，提高群众及企业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公共资源交易平台等保测评服务次数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完成昌吉州政资中心公共资源交易平台国密算法改造测评服务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运维平台数量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改造完成时间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公共资源交易平台等保测评服务成本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6.74万元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平台国密算法改造测评服务成本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昌吉州公共资源交易平台维护费用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提高平台的安全性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招投标企业满意度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昌吉回族自治州公共资源交易中心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昌吉回族自治州政务服务和公共资源交易中心</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134.06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133.20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119.14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23位办公人员，完成1辆汽车租赁。办公用品政府采购率、经费支付及时率均达到100%。通过该项目的实施，进一步提升政务服务和公共资源交易中心工作质效，打造科学化、规范化交易平台，顺利开展政府采购交易服务工作，工程建设交易服务工作，矿业权及产权交易服务工作，做到公平、公平、公正的阳光交易。</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133.20万元，资金执行率99.36%，本项目实际完成保障23位办公人员，完成1辆汽车租赁，全年费用3.5万元，办公用品政府采购率、经费支付及时率均达到100%，共计采购办公用品及设备16万元，保障单位正常运转，其他运行中包含劳务派遣、物业人员工资及社保，维修（护）费，党政图书购买等，全年共支104.06万元，按期发布公告，全年费用8万元；通过本项目的实施，加强了公共资源交易中心工作质效，打造科学化、规范化交易平台，提升了政府采购交易服务工作，工程建设交易服务工作，矿业权及产权交易服务工作，促进了公平、公平、公正的阳光交易。</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&gt;=23人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汽车租赁数量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&lt;=104.92万元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=104.06万元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偏差原因分析：日常办公厉行节约，办公用品、物业运维等开支严控支出标准，各项运行耗材按需采购，减少非必要消耗，实现经费整体节约，实际支出低于年初预算额度。 改进措施 下年度编制预算时结合本年度实际支出数据精准测算，合理压缩冗余预留额度，提升预算编制精细化水平。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业务公告费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政采云平台运行维护费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本年本单位其他项目1个，全年预算数5万元，全年执行数5万元。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