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昌吉回族自治州招商引资服务中心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(1)昌吉州营商环境服务中心负责协调落实优化营商环境相关措施，研究分析自治州营商环境存在的问题，提出意见建议。</w:t>
      </w:r>
    </w:p>
    <w:p>
      <w:pPr>
        <w:spacing w:line="580" w:lineRule="exact"/>
        <w:ind w:firstLine="640"/>
        <w:jc w:val="both"/>
      </w:pPr>
      <w:r>
        <w:rPr>
          <w:rFonts w:ascii="仿宋_GB2312" w:hAnsi="仿宋_GB2312" w:eastAsia="仿宋_GB2312"/>
          <w:sz w:val="32"/>
        </w:rPr>
        <w:t>(2)具体组织开展招商引资工作，承担对外宣传推介、组织参加各类展会等工作。</w:t>
      </w:r>
    </w:p>
    <w:p>
      <w:pPr>
        <w:spacing w:line="580" w:lineRule="exact"/>
        <w:ind w:firstLine="640"/>
        <w:jc w:val="both"/>
      </w:pPr>
      <w:r>
        <w:rPr>
          <w:rFonts w:ascii="仿宋_GB2312" w:hAnsi="仿宋_GB2312" w:eastAsia="仿宋_GB2312"/>
          <w:sz w:val="32"/>
        </w:rPr>
        <w:t>(3)承担招商引资综合服务保障工作，组织开展对外宣传推荐和招商引资活动；承担招商引资企业来昌吉州考察的对接协调和服务工作；承担与外省（区、市）驻疆办事机构和商（协）会、异地新疆商会的联系、协调、对接工作。</w:t>
      </w:r>
    </w:p>
    <w:p>
      <w:pPr>
        <w:spacing w:line="580" w:lineRule="exact"/>
        <w:ind w:firstLine="640"/>
        <w:jc w:val="both"/>
      </w:pPr>
      <w:r>
        <w:rPr>
          <w:rFonts w:ascii="仿宋_GB2312" w:hAnsi="仿宋_GB2312" w:eastAsia="仿宋_GB2312"/>
          <w:sz w:val="32"/>
        </w:rPr>
        <w:t>(4)负责重大招商引资项目的跟踪服务。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昌吉回族自治州招商引资服务中心无下属预算单位。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2025年度收入总计208.72万元，</w:t>
      </w:r>
      <w:r>
        <w:rPr>
          <w:rFonts w:ascii="仿宋_GB2312" w:hAnsi="仿宋_GB2312" w:eastAsia="仿宋_GB2312"/>
          <w:b w:val="0"/>
          <w:sz w:val="32"/>
        </w:rPr>
        <w:t>其中：本年收入合计200.75万元，使用非财政拨款结余（含专用结余）0.00万元，年初结转和结余7.97万元。</w:t>
      </w:r>
    </w:p>
    <w:p>
      <w:pPr>
        <w:spacing w:line="580" w:lineRule="exact"/>
        <w:ind w:firstLine="640"/>
        <w:jc w:val="both"/>
      </w:pPr>
      <w:r>
        <w:rPr>
          <w:rFonts w:ascii="仿宋_GB2312" w:hAnsi="仿宋_GB2312" w:eastAsia="仿宋_GB2312"/>
          <w:b/>
          <w:sz w:val="32"/>
        </w:rPr>
        <w:t>2025年度支出总计208.72万元，</w:t>
      </w:r>
      <w:r>
        <w:rPr>
          <w:rFonts w:ascii="仿宋_GB2312" w:hAnsi="仿宋_GB2312" w:eastAsia="仿宋_GB2312"/>
          <w:b w:val="0"/>
          <w:sz w:val="32"/>
        </w:rPr>
        <w:t>其中：本年支出合计200.78万元，结余分配0.00万元，年末结转和结余7.94万元。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减少51.01万元，下降19.64%，主要原因是：本年财政拨款结余资金上缴财政，结余资金较上年减少。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本年收入200.75万元，</w:t>
      </w:r>
      <w:r>
        <w:rPr>
          <w:rFonts w:ascii="仿宋_GB2312" w:hAnsi="仿宋_GB2312" w:eastAsia="仿宋_GB2312"/>
          <w:b w:val="0"/>
          <w:sz w:val="32"/>
        </w:rPr>
        <w:t>其中：财政拨款收入200.72万元，占99.99%；上级补助收入0.00万元，占0.00%；事业收入0.00万元，占0.00%；经营收入0.00万元，占0.00%；附属单位上缴收入0.00万元，占0.00%；其他收入0.03万元，占0.01%。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本年支出200.78万元，</w:t>
      </w:r>
      <w:r>
        <w:rPr>
          <w:rFonts w:ascii="仿宋_GB2312" w:hAnsi="仿宋_GB2312" w:eastAsia="仿宋_GB2312"/>
          <w:b w:val="0"/>
          <w:sz w:val="32"/>
        </w:rPr>
        <w:t>其中：基本支出200.78万元，占100.00%；项目支出0.00万元，占0.00%；上缴上级支出0.00万元，占0.00%；经营支出0.00万元，占0.00%；对附属单位补助支出0.00万元，占0.00%。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2025年度财政拨款收入总计200.72万元，</w:t>
      </w:r>
      <w:r>
        <w:rPr>
          <w:rFonts w:ascii="仿宋_GB2312" w:hAnsi="仿宋_GB2312" w:eastAsia="仿宋_GB2312"/>
          <w:b w:val="0"/>
          <w:sz w:val="32"/>
        </w:rPr>
        <w:t>其中：年初财政拨款结转和结余0.00万元，本年财政拨款收入200.72万元。</w:t>
      </w:r>
      <w:r>
        <w:rPr>
          <w:rFonts w:ascii="仿宋_GB2312" w:hAnsi="仿宋_GB2312" w:eastAsia="仿宋_GB2312"/>
          <w:b/>
          <w:sz w:val="32"/>
        </w:rPr>
        <w:t>财政拨款支出总计200.72万元，</w:t>
      </w:r>
      <w:r>
        <w:rPr>
          <w:rFonts w:ascii="仿宋_GB2312" w:hAnsi="仿宋_GB2312" w:eastAsia="仿宋_GB2312"/>
          <w:b w:val="0"/>
          <w:sz w:val="32"/>
        </w:rPr>
        <w:t>其中：年末财政拨款结转和结余0.00万元，本年财政拨款支出200.72万元。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减少45.10万元，下降18.35%，主要原因是：本年财政拨款结余资金上缴财政，结余资金较上年减少。</w:t>
      </w:r>
      <w:r>
        <w:rPr>
          <w:rFonts w:ascii="仿宋_GB2312" w:hAnsi="仿宋_GB2312" w:eastAsia="仿宋_GB2312"/>
          <w:b/>
          <w:sz w:val="32"/>
        </w:rPr>
        <w:t>与年初预算相比，</w:t>
      </w:r>
      <w:r>
        <w:rPr>
          <w:rFonts w:ascii="仿宋_GB2312" w:hAnsi="仿宋_GB2312" w:eastAsia="仿宋_GB2312"/>
          <w:b w:val="0"/>
          <w:sz w:val="32"/>
        </w:rPr>
        <w:t>年初预算数161.70万元，决算数200.72万元，预决算差异率24.13%，主要原因是：本年在职人员增加，年中追加人员经费及人员工资、社保、公积金基数调增部分资金，导致预决算存在差异。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按照支出功能分类，一般公共服务支出（类）商贸事务（款）事业运行（项）的支出占本年财政拨款支出总额的比重最高，2025年度决算数为132.77万元，占比66.15%，主要用于人员工资福利、日常公用经费。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2025年度一般公共预算财政拨款支出200.72万元，</w:t>
      </w:r>
      <w:r>
        <w:rPr>
          <w:rFonts w:ascii="仿宋_GB2312" w:hAnsi="仿宋_GB2312" w:eastAsia="仿宋_GB2312"/>
          <w:b w:val="0"/>
          <w:sz w:val="32"/>
        </w:rPr>
        <w:t>占本年支出合计的99.97%。</w:t>
      </w:r>
      <w:r>
        <w:rPr>
          <w:rFonts w:ascii="仿宋_GB2312" w:hAnsi="仿宋_GB2312" w:eastAsia="仿宋_GB2312"/>
          <w:b/>
          <w:sz w:val="32"/>
        </w:rPr>
        <w:t>与上年相比，</w:t>
      </w:r>
      <w:r>
        <w:rPr>
          <w:rFonts w:ascii="仿宋_GB2312" w:hAnsi="仿宋_GB2312" w:eastAsia="仿宋_GB2312"/>
          <w:b w:val="0"/>
          <w:sz w:val="32"/>
        </w:rPr>
        <w:t>减少19.82万元，下降8.99%，主要原因是：本年减少抚恤金等资金。</w:t>
      </w:r>
      <w:r>
        <w:rPr>
          <w:rFonts w:ascii="仿宋_GB2312" w:hAnsi="仿宋_GB2312" w:eastAsia="仿宋_GB2312"/>
          <w:b/>
          <w:sz w:val="32"/>
        </w:rPr>
        <w:t>与年初预算相比，</w:t>
      </w:r>
      <w:r>
        <w:rPr>
          <w:rFonts w:ascii="仿宋_GB2312" w:hAnsi="仿宋_GB2312" w:eastAsia="仿宋_GB2312"/>
          <w:b w:val="0"/>
          <w:sz w:val="32"/>
        </w:rPr>
        <w:t>年初预算数161.70万元，决算数200.72万元，预决算差异率24.13%，主要原因是：本年在职人员增加，年中追加人员经费及人员工资、社保、公积金基数调增部分资金，导致预决算存在差异。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1.一般公共服务支出（类）132.77万元，占66.15%。</w:t>
      </w:r>
    </w:p>
    <w:p>
      <w:pPr>
        <w:spacing w:line="580" w:lineRule="exact"/>
        <w:ind w:firstLine="640"/>
        <w:jc w:val="both"/>
      </w:pPr>
      <w:r>
        <w:rPr>
          <w:rFonts w:ascii="仿宋_GB2312" w:hAnsi="仿宋_GB2312" w:eastAsia="仿宋_GB2312"/>
          <w:b w:val="0"/>
          <w:sz w:val="32"/>
        </w:rPr>
        <w:t>2.社会保障和就业支出（类）44.59万元，占22.22%。</w:t>
      </w:r>
    </w:p>
    <w:p>
      <w:pPr>
        <w:spacing w:line="580" w:lineRule="exact"/>
        <w:ind w:firstLine="640"/>
        <w:jc w:val="both"/>
      </w:pPr>
      <w:r>
        <w:rPr>
          <w:rFonts w:ascii="仿宋_GB2312" w:hAnsi="仿宋_GB2312" w:eastAsia="仿宋_GB2312"/>
          <w:b w:val="0"/>
          <w:sz w:val="32"/>
        </w:rPr>
        <w:t>3.卫生健康支出（类）11.14万元，占5.55%。</w:t>
      </w:r>
    </w:p>
    <w:p>
      <w:pPr>
        <w:spacing w:line="580" w:lineRule="exact"/>
        <w:ind w:firstLine="640"/>
        <w:jc w:val="both"/>
      </w:pPr>
      <w:r>
        <w:rPr>
          <w:rFonts w:ascii="仿宋_GB2312" w:hAnsi="仿宋_GB2312" w:eastAsia="仿宋_GB2312"/>
          <w:b w:val="0"/>
          <w:sz w:val="32"/>
        </w:rPr>
        <w:t>4.住房保障支出（类）12.23万元，占6.09%。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1.一般公共服务支出（类）商贸事务（款）事业运行（项）：支出决算数为132.77万元，比上年决算减少15.63万元，下降10.53%，主要原因是：本年减少抚恤金等资金。</w:t>
      </w:r>
    </w:p>
    <w:p>
      <w:pPr>
        <w:spacing w:line="580" w:lineRule="exact"/>
        <w:ind w:firstLine="640"/>
        <w:jc w:val="both"/>
      </w:pPr>
      <w:r>
        <w:rPr>
          <w:rFonts w:ascii="仿宋_GB2312" w:hAnsi="仿宋_GB2312" w:eastAsia="仿宋_GB2312"/>
          <w:b w:val="0"/>
          <w:sz w:val="32"/>
        </w:rPr>
        <w:t>2.一般公共服务支出（类）商贸事务（款）其他商贸事务支出（项）：支出决算数为0.00万元，比上年决算减少3.50万元，下降100.00%，主要原因是：本年功能科目调整，车辆经费上年单独列支，本年度在主科目列支，导致经费较上年减少。</w:t>
      </w:r>
    </w:p>
    <w:p>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3.社会保障和就业支出（类）行政事业单位养老支出（款）事业单位离退休（项）：支出决算数为8.55万元，比上年决算增加2.13万元，增长33.18%，主要原因是：本年增加退休人员基础绩效奖，退休费支出增加。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28.53万元，比上年决算增加11.29万元，增长65.49%，主要原因是：本年在职人员增加，养老保险缴费较上年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7.51万元，比上年决算减少12.14万元，下降61.78%，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7.51万元，比上年决算减少1.91万元，下降20.28%，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7.卫生健康支出（类）行政事业单位医疗（款）公务员医疗补助（项）：支出决算数为3.51万元，比上年决算增加2.95万元，增长526.79%，主要原因是：本年在职人员增加，公务员医疗补助较上年增加。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8.卫生健康支出（类）行政事业单位医疗（款）其他行政事业单位医疗支出（项）：支出决算数为0.11万元，比上年决算增加0.01万元，增长10.00%，主要原因是：本年在职人员增加，大病医疗保险支出较上年增加。</w:t>
      </w:r>
    </w:p>
    <w:p>
      <w:pPr>
        <w:spacing w:line="580" w:lineRule="exact"/>
        <w:ind w:firstLine="640"/>
        <w:jc w:val="both"/>
      </w:pPr>
      <w:r>
        <w:rPr>
          <w:rFonts w:ascii="仿宋_GB2312" w:hAnsi="仿宋_GB2312" w:eastAsia="仿宋_GB2312"/>
          <w:b w:val="0"/>
          <w:sz w:val="32"/>
        </w:rPr>
        <w:t>9.住房保障支出（类）住房改革支出（款）住房公积金（项）：支出决算数为12.23万元，比上年决算减少3.03万元，下降19.86%，主要原因是：本年在职人员调入调出，人员职级不同，缴费基数不同，导致住房公积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2025年度一般公共预算财政拨款基本支出200.72万元，其中：</w:t>
      </w:r>
      <w:r>
        <w:rPr>
          <w:rFonts w:ascii="仿宋_GB2312" w:hAnsi="仿宋_GB2312" w:eastAsia="仿宋_GB2312"/>
          <w:b/>
          <w:sz w:val="32"/>
        </w:rPr>
        <w:t>人员经费176.65万元，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包括：基本工资、津贴补贴、奖金、绩效工资、机关事业单位基本养老保险缴费、职业年金缴费、职工基本医疗保险缴费、公务员医疗补助缴费、其他社会保障缴费、住房公积金、退休费、生活补助、奖励金。</w:t>
      </w:r>
    </w:p>
    <w:p>
      <w:pPr>
        <w:spacing w:line="580" w:lineRule="exact"/>
        <w:ind w:firstLine="640"/>
        <w:jc w:val="both"/>
      </w:pPr>
      <w:r>
        <w:rPr>
          <w:rFonts w:ascii="仿宋_GB2312" w:hAnsi="仿宋_GB2312" w:eastAsia="仿宋_GB2312"/>
          <w:b/>
          <w:sz w:val="32"/>
        </w:rPr>
        <w:t>公用经费24.07万元，</w:t>
      </w:r>
      <w:r>
        <w:rPr>
          <w:rFonts w:ascii="仿宋_GB2312" w:hAnsi="仿宋_GB2312" w:eastAsia="仿宋_GB2312"/>
          <w:b w:val="0"/>
          <w:sz w:val="32"/>
        </w:rPr>
        <w:t>包括：办公费、电费、取暖费、物业管理费、维修（护）费、公务接待费、劳务费、委托业务费、工会经费、福利费、公务用车运行维护费、其他商品和服务支出。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2025年度财政拨款“三公”经费支出5.63万元，</w:t>
      </w:r>
      <w:r>
        <w:rPr>
          <w:rFonts w:ascii="仿宋_GB2312" w:hAnsi="仿宋_GB2312" w:eastAsia="仿宋_GB2312"/>
          <w:b w:val="0"/>
          <w:sz w:val="32"/>
        </w:rPr>
        <w:t>比上年减少0.01万元，下降0.18%，主要原因是：严格落实中央八项规定精神，厉行节约，减少公务接待费。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公务用车购置及运行维护费支出5.50万元，占97.69%，比上年增加0.01万元，增长0.18%，主要原因是：本年因业务需求，用车次数增加，燃油费增加，导致公务用车运行维护费较上年增加。</w:t>
      </w:r>
      <w:r>
        <w:rPr>
          <w:rFonts w:ascii="仿宋_GB2312" w:hAnsi="仿宋_GB2312" w:eastAsia="仿宋_GB2312"/>
          <w:b w:val="0"/>
          <w:sz w:val="32"/>
        </w:rPr>
        <w:t>公务接待费支出0.13万元，占2.31%，比上年减少0.02万元，下降13.33%，主要原因是：严格落实中央八项规定精神，厉行节约，减少公务接待费。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5.50万元，其中：公务用车购置费0.00万元，公务用车运行维护费5.50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公务接待费0.13万元，开支内容包括因考察学习，接待福建客商考察学习产生的就餐费。单位全年安排的国内公务接待1批次，10人次。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5.63万元，决算数5.63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5.50万元，决算数5.50万元，预决算差异率0.00%，主要原因是：严格按照预算执行，预决算无差异。公务接待费全年预算数0.13万元，决算数0.13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2025年度昌吉回族自治州招商引资服务中心（事业单位）公用经费支出24.07万元，比上年增加4.79万元，增长24.84%，主要原因是：本年更新、维护补充办公用品，导致公用经费较上年增加。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2025年度政府采购支出总额5.50万元，其中：政府采购货物支出2.00万元、政府采购工程支出0.00万元、政府采购服务支出3.50万元。</w:t>
      </w:r>
    </w:p>
    <w:p>
      <w:pPr>
        <w:spacing w:line="580" w:lineRule="exact"/>
        <w:ind w:firstLine="640"/>
        <w:jc w:val="both"/>
      </w:pPr>
      <w:r>
        <w:rPr>
          <w:rFonts w:ascii="仿宋_GB2312" w:hAnsi="仿宋_GB2312" w:eastAsia="仿宋_GB2312"/>
          <w:b w:val="0"/>
          <w:sz w:val="32"/>
        </w:rPr>
        <w:t>授予中小企业合同金额5.50万元，占政府采购支出总额的100.00%，其中：授予小微企业合同金额5.50万元，占政府采购支出总额的100.00%。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4,219.41平方米，价值934.90万元。车辆1辆，价值22.50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208.72万元，实际执行总额200.78万元；预算绩效评价项目0个，全年预算数0.00万元，全年执行数0.00万元。预算绩效管理取得的成效：一是建立健全了预算管理规章制度，各部门严格按预算编制和要求做好当年预算编制工作，在预算绩效管理工作中，做到合理安排各项资金，重点保障基本支出，按轻重缓急顺序原则，优先安排了阜康市人民政府办公室事业发展中关系民生与稳定的项目，切实优化资源配置，提高了资金使用的效率和效果。二是进一步完善单位财务制度，严格执行财务管理，按财政部门的要求进行决算、编制财务报告，并到相关业务科室进行审核，能按要求时间准时上报财政部门。发现的问题及原因：一是要加强财务人员业务学习能力和自身素质的提高，才能保证财务工作的严要求、高标准。二是进一步加强预算管理，预算编制依据充分合理，避免预算统筹考虑不足，出现预算执行不均衡现象。下一步改进措施：一是加强预算绩效目标编制的培训学习，科学合理编制预算，严格执行预算，提高财务信息质量；二是进一步加强单位内部机构的预算管理意识，严格按照预算编制的相关制度和要求进行预算编制，加强单位财务管理，健全单位财务管理制度体系，规范单位财务行为。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昌吉回族自治州招商引资服务中心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208.72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200.78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208.72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200.78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9.62</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与新疆异地商会、外省市新疆商会、内地新疆办事处的沟通联系，发挥好中介机构的招商平台作用，精准掌握招商信息。提升专业化招商水平，积极探索开展代理招商和委托招商。利用好数字招商平台，更新平台产业链招商内容，丰富政策宣传、项目发布、虚拟洽谈等运用场景。组织召开驻疆商（协）会企业家“昌吉州高质量发展”招商引资建言献策畅谈会。组织北京、西安、广州3地“强优企业进昌吉”招商引资专项考察活动。建立健全招商引资落地项目州、县领导包联和跟踪服务工作机制，建立重点招商引资签约项目台账，定期通报签约项目进展情况，协调解决项目推进中的问题，提升招商引资签约项目的履约率。组织召开招商引资政企恳谈会、招商引资企业专项调研等活动，加大涉企服务政策的宣传，了解企业对招商引资的意见和建议，解决招商引资企业实际困难。</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208.72万元，全年执行数为200.78万元，总预算执行率为96.2%。2025年我单位完成以下工作内容：1、该项目实际完成组织开展外出精准招商2次、2、联系对接驻疆商会10次；3.组织召开自治州招商引资培训2次，通过该项目的实施，提升招商引资信息化水平，完成了重大招商引资项目的全程服务；招商成效显著。提升了服务质量和工作效率，促进了部门业务开展工作，保障单位机构正常运转。</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组织开展外出精准招商</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招商引资服务中心2025年工作要点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联系对接驻疆商会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招商引资服务中心2025年工作要点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组织召开自治州招商引资培训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招商引资服务中心2025年工作要点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