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昌吉回族自治州文学艺术界联合会</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一）、坚持和加强党的全面领导，贯彻落实党对文艺工作者的方针政策和决策部署，对各团体会员、文艺工作者及新文艺组织、新文艺群体开展团体引导、联络协调、服务管理、自律维权工作。团结广大文艺工作者，反映和听取文艺界的情况和意见，引导广大文艺工作者听党话跟党走。</w:t>
      </w:r>
    </w:p>
    <w:p>
      <w:pPr>
        <w:spacing w:line="580" w:lineRule="exact"/>
        <w:ind w:firstLine="640"/>
        <w:jc w:val="both"/>
      </w:pPr>
      <w:r>
        <w:rPr>
          <w:rFonts w:ascii="仿宋_GB2312" w:hAnsi="仿宋_GB2312" w:eastAsia="仿宋_GB2312"/>
          <w:sz w:val="32"/>
        </w:rPr>
        <w:t>（二）、组织召开自治州文联全州性代表大会、全委会、主席团会议；组织全州性文艺家协会召开代表大会、理事会、主席团会议，以及自治州文联系统工作会议。</w:t>
      </w:r>
    </w:p>
    <w:p>
      <w:pPr>
        <w:spacing w:line="580" w:lineRule="exact"/>
        <w:ind w:firstLine="640"/>
        <w:jc w:val="both"/>
      </w:pPr>
      <w:r>
        <w:rPr>
          <w:rFonts w:ascii="仿宋_GB2312" w:hAnsi="仿宋_GB2312" w:eastAsia="仿宋_GB2312"/>
          <w:sz w:val="32"/>
        </w:rPr>
        <w:t>（三）、负责开展采风创作、文艺志愿服务、主题文艺活动、展演展示展播等文艺实践活动，组织开展文艺人才教育培训、培养推介、创作扶持等工作。</w:t>
      </w:r>
    </w:p>
    <w:p>
      <w:pPr>
        <w:spacing w:line="580" w:lineRule="exact"/>
        <w:ind w:firstLine="640"/>
        <w:jc w:val="both"/>
      </w:pPr>
      <w:r>
        <w:rPr>
          <w:rFonts w:ascii="仿宋_GB2312" w:hAnsi="仿宋_GB2312" w:eastAsia="仿宋_GB2312"/>
          <w:sz w:val="32"/>
        </w:rPr>
        <w:t>（四）、负责自治州文联系统全州性文艺奖励评选工作，组织开展文艺评论、文艺理论研究、学术交流研讨等活动。</w:t>
      </w:r>
    </w:p>
    <w:p>
      <w:pPr>
        <w:spacing w:line="580" w:lineRule="exact"/>
        <w:ind w:firstLine="640"/>
        <w:jc w:val="both"/>
      </w:pPr>
      <w:r>
        <w:rPr>
          <w:rFonts w:ascii="仿宋_GB2312" w:hAnsi="仿宋_GB2312" w:eastAsia="仿宋_GB2312"/>
          <w:sz w:val="32"/>
        </w:rPr>
        <w:t>（五）、依法开展文艺领域行业教育、行业自律、行业服务和行业管理工作，开展行风建设和职业道德建设。</w:t>
      </w:r>
    </w:p>
    <w:p>
      <w:pPr>
        <w:spacing w:line="580" w:lineRule="exact"/>
        <w:ind w:firstLine="640"/>
        <w:jc w:val="both"/>
      </w:pPr>
      <w:r>
        <w:rPr>
          <w:rFonts w:ascii="仿宋_GB2312" w:hAnsi="仿宋_GB2312" w:eastAsia="仿宋_GB2312"/>
          <w:sz w:val="32"/>
        </w:rPr>
        <w:t>（六）、服务自治州党委、自治州人民政府对外工作大局，推动中华文化走出去，协同有关部门组织开展国际、国内文艺界的民间文化交流合作。</w:t>
      </w:r>
    </w:p>
    <w:p>
      <w:pPr>
        <w:spacing w:line="580" w:lineRule="exact"/>
        <w:ind w:firstLine="640"/>
        <w:jc w:val="both"/>
      </w:pPr>
      <w:r>
        <w:rPr>
          <w:rFonts w:ascii="仿宋_GB2312" w:hAnsi="仿宋_GB2312" w:eastAsia="仿宋_GB2312"/>
          <w:sz w:val="32"/>
        </w:rPr>
        <w:t>（七）、组织开展文艺领域立法协商、侵权纠纷调解、权益保护协调合作、诉求表达处理、法律志愿服务工作，维护文艺工作者合法权益。</w:t>
      </w:r>
    </w:p>
    <w:p>
      <w:pPr>
        <w:spacing w:line="580" w:lineRule="exact"/>
        <w:ind w:firstLine="640"/>
        <w:jc w:val="both"/>
      </w:pPr>
      <w:r>
        <w:rPr>
          <w:rFonts w:ascii="仿宋_GB2312" w:hAnsi="仿宋_GB2312" w:eastAsia="仿宋_GB2312"/>
          <w:sz w:val="32"/>
        </w:rPr>
        <w:t>（八）、引导网络文艺创作生产，促进传统文艺和网络文艺融合发展，指导协调文艺工作者联系服务平台建设，推进文联文艺工作网络化建设。</w:t>
      </w:r>
    </w:p>
    <w:p>
      <w:pPr>
        <w:spacing w:line="580" w:lineRule="exact"/>
        <w:ind w:firstLine="640"/>
        <w:jc w:val="both"/>
      </w:pPr>
      <w:r>
        <w:rPr>
          <w:rFonts w:ascii="仿宋_GB2312" w:hAnsi="仿宋_GB2312" w:eastAsia="仿宋_GB2312"/>
          <w:sz w:val="32"/>
        </w:rPr>
        <w:t>（九）、依法依章指导下级文联工作。</w:t>
      </w:r>
    </w:p>
    <w:p>
      <w:pPr>
        <w:spacing w:line="580" w:lineRule="exact"/>
        <w:ind w:firstLine="640"/>
        <w:jc w:val="both"/>
      </w:pPr>
      <w:r>
        <w:rPr>
          <w:rFonts w:ascii="仿宋_GB2312" w:hAnsi="仿宋_GB2312" w:eastAsia="仿宋_GB2312"/>
          <w:sz w:val="32"/>
        </w:rPr>
        <w:t>（十）、主管自治州文联所属文艺期刊。负责对有关文化艺术社会团体等社会组织进行监管理。</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昌吉回族自治州文学艺术界联合会无下属预算单位。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2025年度收入总计637.22万元，</w:t>
      </w:r>
      <w:r>
        <w:rPr>
          <w:rFonts w:ascii="仿宋_GB2312" w:hAnsi="仿宋_GB2312" w:eastAsia="仿宋_GB2312"/>
          <w:b w:val="0"/>
          <w:sz w:val="32"/>
        </w:rPr>
        <w:t>其中：本年收入合计618.27万元，使用非财政拨款结余（含专用结余）18.95万元，年初结转和结余0.00万元。</w:t>
      </w:r>
    </w:p>
    <w:p>
      <w:pPr>
        <w:spacing w:line="580" w:lineRule="exact"/>
        <w:ind w:firstLine="640"/>
        <w:jc w:val="both"/>
      </w:pPr>
      <w:r>
        <w:rPr>
          <w:rFonts w:ascii="仿宋_GB2312" w:hAnsi="仿宋_GB2312" w:eastAsia="仿宋_GB2312"/>
          <w:b/>
          <w:sz w:val="32"/>
        </w:rPr>
        <w:t>2025年度支出总计637.22万元，</w:t>
      </w:r>
      <w:r>
        <w:rPr>
          <w:rFonts w:ascii="仿宋_GB2312" w:hAnsi="仿宋_GB2312" w:eastAsia="仿宋_GB2312"/>
          <w:b w:val="0"/>
          <w:sz w:val="32"/>
        </w:rPr>
        <w:t>其中：本年支出合计637.22万元，结余分配0.00万元，年末结转和结余0.00万元。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减少103.44万元，下降13.97%，主要原因是：本年减少奋飞奖活动、“回望庭州70年”美术创作工程等项目。</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本年收入618.27万元，</w:t>
      </w:r>
      <w:r>
        <w:rPr>
          <w:rFonts w:ascii="仿宋_GB2312" w:hAnsi="仿宋_GB2312" w:eastAsia="仿宋_GB2312"/>
          <w:b w:val="0"/>
          <w:sz w:val="32"/>
        </w:rPr>
        <w:t>其中：财政拨款收入509.03万元，占82.33%；上级补助收入0.00万元，占0.00%；事业收入0.00万元，占0.00%；经营收入0.00万元，占0.00%；附属单位上缴收入0.00万元，占0.00%；其他收入109.24万元，占17.67%。</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本年支出637.22万元，</w:t>
      </w:r>
      <w:r>
        <w:rPr>
          <w:rFonts w:ascii="仿宋_GB2312" w:hAnsi="仿宋_GB2312" w:eastAsia="仿宋_GB2312"/>
          <w:b w:val="0"/>
          <w:sz w:val="32"/>
        </w:rPr>
        <w:t>其中：基本支出364.02万元，占57.13%；项目支出273.19万元，占42.87%；上缴上级支出0.00万元，占0.00%；经营支出0.00万元，占0.00%；对附属单位补助支出0.00万元，占0.00%。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2025年度财政拨款收入总计509.03万元，</w:t>
      </w:r>
      <w:r>
        <w:rPr>
          <w:rFonts w:ascii="仿宋_GB2312" w:hAnsi="仿宋_GB2312" w:eastAsia="仿宋_GB2312"/>
          <w:b w:val="0"/>
          <w:sz w:val="32"/>
        </w:rPr>
        <w:t>其中：年初财政拨款结转和结余0.00万元，本年财政拨款收入509.03万元。</w:t>
      </w:r>
      <w:r>
        <w:rPr>
          <w:rFonts w:ascii="仿宋_GB2312" w:hAnsi="仿宋_GB2312" w:eastAsia="仿宋_GB2312"/>
          <w:b/>
          <w:sz w:val="32"/>
        </w:rPr>
        <w:t>财政拨款支出总计509.03万元，</w:t>
      </w:r>
      <w:r>
        <w:rPr>
          <w:rFonts w:ascii="仿宋_GB2312" w:hAnsi="仿宋_GB2312" w:eastAsia="仿宋_GB2312"/>
          <w:b w:val="0"/>
          <w:sz w:val="32"/>
        </w:rPr>
        <w:t>其中：年末财政拨款结转和结余0.00万元，本年财政拨款支出509.03万元。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减少120.45万元，下降19.13%，主要原因是：本年减少奋飞奖活动、“回望庭州70年”美术创作工程等项目。</w:t>
      </w:r>
      <w:r>
        <w:rPr>
          <w:rFonts w:ascii="仿宋_GB2312" w:hAnsi="仿宋_GB2312" w:eastAsia="仿宋_GB2312"/>
          <w:b/>
          <w:sz w:val="32"/>
        </w:rPr>
        <w:t>与年初预算相比，</w:t>
      </w:r>
      <w:r>
        <w:rPr>
          <w:rFonts w:ascii="仿宋_GB2312" w:hAnsi="仿宋_GB2312" w:eastAsia="仿宋_GB2312"/>
          <w:b w:val="0"/>
          <w:sz w:val="32"/>
        </w:rPr>
        <w:t>年初预算数325.56万元，决算数509.03万元，预决算差异率56.36%，主要原因是：年中追加昌吉州第六批高层次人才技能大师工作室经费项目、昌吉州2025年文艺创作扶持奖励资金项目、中央补助地方公共文化服务体系建设补助资金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文艺创作扶持、文艺展览展演、文艺人才培训等重点支出，体现在有关支出科目中。</w:t>
      </w:r>
    </w:p>
    <w:p>
      <w:pPr>
        <w:spacing w:line="580" w:lineRule="exact"/>
        <w:ind w:firstLine="640"/>
        <w:jc w:val="both"/>
      </w:pPr>
      <w:r>
        <w:rPr>
          <w:rFonts w:ascii="仿宋_GB2312" w:hAnsi="仿宋_GB2312" w:eastAsia="仿宋_GB2312"/>
          <w:b w:val="0"/>
          <w:sz w:val="32"/>
        </w:rPr>
        <w:t>按照支出功能分类，文化旅游体育与传媒支出（类）文化和旅游（款）行政运行（项）的支出占本年财政拨款支出总额的比重最高，2025年度决算数为357.76万元，占比70.28%，主要用于人员工资福利、日常公用经费。</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2025年度一般公共预算财政拨款支出509.03万元，</w:t>
      </w:r>
      <w:r>
        <w:rPr>
          <w:rFonts w:ascii="仿宋_GB2312" w:hAnsi="仿宋_GB2312" w:eastAsia="仿宋_GB2312"/>
          <w:b w:val="0"/>
          <w:sz w:val="32"/>
        </w:rPr>
        <w:t>占本年支出合计的79.88%。</w:t>
      </w:r>
      <w:r>
        <w:rPr>
          <w:rFonts w:ascii="仿宋_GB2312" w:hAnsi="仿宋_GB2312" w:eastAsia="仿宋_GB2312"/>
          <w:b/>
          <w:sz w:val="32"/>
        </w:rPr>
        <w:t>与上年相比，</w:t>
      </w:r>
      <w:r>
        <w:rPr>
          <w:rFonts w:ascii="仿宋_GB2312" w:hAnsi="仿宋_GB2312" w:eastAsia="仿宋_GB2312"/>
          <w:b w:val="0"/>
          <w:sz w:val="32"/>
        </w:rPr>
        <w:t>减少120.45万元，下降19.13%，主要原因是：本年减少奋飞奖活动、“回望庭州70年”美术创作工程等项目。</w:t>
      </w:r>
      <w:r>
        <w:rPr>
          <w:rFonts w:ascii="仿宋_GB2312" w:hAnsi="仿宋_GB2312" w:eastAsia="仿宋_GB2312"/>
          <w:b/>
          <w:sz w:val="32"/>
        </w:rPr>
        <w:t>与年初预算相比，</w:t>
      </w:r>
      <w:r>
        <w:rPr>
          <w:rFonts w:ascii="仿宋_GB2312" w:hAnsi="仿宋_GB2312" w:eastAsia="仿宋_GB2312"/>
          <w:b w:val="0"/>
          <w:sz w:val="32"/>
        </w:rPr>
        <w:t>年初预算数325.56万元，决算数509.03万元，预决算差异率56.36%，主要原因是：年中追加昌吉州第六批高层次人才技能大师工作室经费项目、昌吉州2025年文艺创作扶持奖励资金项目、中央补助地方公共文化服务体系建设补助资金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1.文化旅游体育与传媒支出（类）502.76万元，占98.77%。</w:t>
      </w:r>
    </w:p>
    <w:p>
      <w:pPr>
        <w:spacing w:line="580" w:lineRule="exact"/>
        <w:ind w:firstLine="640"/>
        <w:jc w:val="both"/>
      </w:pPr>
      <w:r>
        <w:rPr>
          <w:rFonts w:ascii="仿宋_GB2312" w:hAnsi="仿宋_GB2312" w:eastAsia="仿宋_GB2312"/>
          <w:b w:val="0"/>
          <w:sz w:val="32"/>
        </w:rPr>
        <w:t>2.社会保障和就业支出（类）6.27万元，占1.23%。</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1.文化旅游体育与传媒支出（类）文化和旅游（款）行政运行（项）：支出决算数为357.76万元，比上年决算增加49.08万元，增长15.90%，主要原因是：本年在职人员工资调增，导致相关人员经费较上年有所增加。</w:t>
      </w:r>
    </w:p>
    <w:p>
      <w:pPr>
        <w:spacing w:line="580" w:lineRule="exact"/>
        <w:ind w:firstLine="640"/>
        <w:jc w:val="both"/>
      </w:pPr>
      <w:r>
        <w:rPr>
          <w:rFonts w:ascii="仿宋_GB2312" w:hAnsi="仿宋_GB2312" w:eastAsia="仿宋_GB2312"/>
          <w:b w:val="0"/>
          <w:sz w:val="32"/>
        </w:rPr>
        <w:t>2.文化旅游体育与传媒支出（类）文化和旅游（款）一般行政管理事务（项）：支出决算数为49.91万元，比上年决算减少21.39万元，下降30.00%，主要原因是：本年减少奋飞奖活动项目。</w:t>
      </w:r>
    </w:p>
    <w:p>
      <w:pPr>
        <w:spacing w:line="580" w:lineRule="exact"/>
        <w:ind w:firstLine="640"/>
        <w:jc w:val="both"/>
      </w:pPr>
      <w:r>
        <w:rPr>
          <w:rFonts w:ascii="仿宋_GB2312" w:hAnsi="仿宋_GB2312" w:eastAsia="仿宋_GB2312"/>
          <w:b w:val="0"/>
          <w:sz w:val="32"/>
        </w:rPr>
        <w:t>3.文化旅游体育与传媒支出（类）文化和旅游（款）文化活动（项）：支出决算数为0.00万元，比上年决算减少62.56万元，下降100.00%，主要原因是：本年减少文艺创作补助经费项目。</w:t>
      </w:r>
    </w:p>
    <w:p>
      <w:pPr>
        <w:spacing w:line="580" w:lineRule="exact"/>
        <w:ind w:firstLine="640"/>
        <w:jc w:val="both"/>
      </w:pPr>
      <w:r>
        <w:rPr>
          <w:rFonts w:ascii="仿宋_GB2312" w:hAnsi="仿宋_GB2312" w:eastAsia="仿宋_GB2312"/>
          <w:b w:val="0"/>
          <w:sz w:val="32"/>
        </w:rPr>
        <w:t>4.文化旅游体育与传媒支出（类）文化和旅游（款）文化创作与保护（项）：支出决算数为64.80万元，比上年决算增加59.60万元，增长1,146.15%，主要原因是：本年增加昌吉州第六批高层次人才技能大师工作室经费项目和2025年文艺创作扶持奖励资金项目。</w:t>
      </w:r>
    </w:p>
    <w:p>
      <w:pPr>
        <w:spacing w:line="580" w:lineRule="exact"/>
        <w:ind w:firstLine="640"/>
        <w:jc w:val="both"/>
      </w:pPr>
      <w:r>
        <w:rPr>
          <w:rFonts w:ascii="仿宋_GB2312" w:hAnsi="仿宋_GB2312" w:eastAsia="仿宋_GB2312"/>
          <w:b w:val="0"/>
          <w:sz w:val="32"/>
        </w:rPr>
        <w:t>5.文化旅游体育与传媒支出（类）其他文化旅游体育与传媒支出（款）其他文化旅游体育与传媒支出（项）：支出决算数为30.29万元，比上年决算减少151.45万元，下降83.33%，主要原因是：本年减少“回望庭州70年”美术创作工程项目和《博峰丛书》出版工程项目。</w:t>
      </w:r>
    </w:p>
    <w:p>
      <w:pPr>
        <w:spacing w:line="580" w:lineRule="exact"/>
        <w:ind w:firstLine="640"/>
        <w:jc w:val="both"/>
      </w:pPr>
      <w:r>
        <w:rPr>
          <w:rFonts w:ascii="仿宋_GB2312" w:hAnsi="仿宋_GB2312" w:eastAsia="仿宋_GB2312"/>
          <w:b w:val="0"/>
          <w:sz w:val="32"/>
        </w:rPr>
        <w:t>6.社会保障和就业支出（类）行政事业单位养老支出（款）机关事业单位职业年金缴费支出（项）：支出决算数为6.27万元，比上年决算增加6.27万元，增长100.00%，主要原因是：本年功能科目调整，机关事业单位职业年金缴费上年度在主科目列支，本年单独列支，导致经费较上年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2025年度一般公共预算财政拨款基本支出364.02万元，其中：</w:t>
      </w:r>
      <w:r>
        <w:rPr>
          <w:rFonts w:ascii="仿宋_GB2312" w:hAnsi="仿宋_GB2312" w:eastAsia="仿宋_GB2312"/>
          <w:b/>
          <w:sz w:val="32"/>
        </w:rPr>
        <w:t>人员经费340.25万元，</w:t>
      </w:r>
      <w:r>
        <w:rPr>
          <w:rFonts w:ascii="仿宋_GB2312" w:hAnsi="仿宋_GB2312" w:eastAsia="仿宋_GB2312"/>
          <w:b w:val="0"/>
          <w:sz w:val="32"/>
        </w:rPr>
        <w:t>包括：基本工资、津贴补贴、奖金、绩效工资、机关事业单位基本养老保险缴费、职业年金缴费、职工基本医疗保险缴费、公务员医疗补助缴费、其他社会保障缴费、住房公积金、其他工资福利支出、退休费、奖励金。</w:t>
      </w:r>
    </w:p>
    <w:p>
      <w:pPr>
        <w:spacing w:line="580" w:lineRule="exact"/>
        <w:ind w:firstLine="640"/>
        <w:jc w:val="both"/>
      </w:pPr>
      <w:r>
        <w:rPr>
          <w:rFonts w:ascii="仿宋_GB2312" w:hAnsi="仿宋_GB2312" w:eastAsia="仿宋_GB2312"/>
          <w:b/>
          <w:sz w:val="32"/>
        </w:rPr>
        <w:t>公用经费23.78万元，</w:t>
      </w:r>
      <w:r>
        <w:rPr>
          <w:rFonts w:ascii="仿宋_GB2312" w:hAnsi="仿宋_GB2312" w:eastAsia="仿宋_GB2312"/>
          <w:b w:val="0"/>
          <w:sz w:val="32"/>
        </w:rPr>
        <w:t>包括：办公费、邮电费、差旅费、维修（护）费、培训费、劳务费、委托业务费、工会经费、福利费、公务用车运行维护费、其他商品和服务支出。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2025年度财政拨款“三公”经费支出2.95万元，</w:t>
      </w:r>
      <w:r>
        <w:rPr>
          <w:rFonts w:ascii="仿宋_GB2312" w:hAnsi="仿宋_GB2312" w:eastAsia="仿宋_GB2312"/>
          <w:b w:val="0"/>
          <w:sz w:val="32"/>
        </w:rPr>
        <w:t>比上年减少1.00万元，下降25.32%，主要原因是：严格落实中央八项规定精神，厉行节约，减少公务用车运行维护费。</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公务用车购置及运行维护费支出2.95万元，占100.00%，比上年减少1.00万元，下降25.32%，主要原因是：严格落实中央八项规定精神，厉行节约，减少公务用车运行维护费。</w:t>
      </w:r>
      <w:r>
        <w:rPr>
          <w:rFonts w:ascii="仿宋_GB2312" w:hAnsi="仿宋_GB2312" w:eastAsia="仿宋_GB2312"/>
          <w:b w:val="0"/>
          <w:sz w:val="32"/>
        </w:rPr>
        <w:t>公务接待费支出0.00万元，占0.00%，比上年增加0.00万元，增长0.00%，主要原因是：2024年与2025年均无公务接待费支出。</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2.95万元，其中：公务用车购置费0.00万元，公务用车运行维护费2.95万元。公务用车运行维护费开支内容包括车辆加油费、维修费、保险费。公务用车购置数0辆，公务用车保有量3辆。国有资产占用情况中固定资产车辆3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公务接待费0.00万元，开支内容包括本单位无公务接待费。单位全年安排的国内公务接待0批次，0人次。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2.95万元，决算数2.95万元，预决算差异率0.00%，主要原因是：严格按照预算执行，预决算无差异。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2.95万元，决算数2.95万元，预决算差异率0.00%，主要原因是：严格按照预算执行，预决算无差异。公务接待费全年预算数0.00万元，决算数0.00万元，预决算差异率0.00%，主要原因是：本单位无公务接待费。</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2025年度昌吉回族自治州文学艺术界联合会（行政单位和参照公务员法管理事业单位）机关运行经费支出23.78万元，比上年减少0.93万元，下降3.76%，主要原因是：严控经费支出，厉行节约，减少经费支出。</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2025年度政府采购支出总额169.47万元，其中：政府采购货物支出36.64万元、政府采购工程支出0.00万元、政府采购服务支出132.83万元。</w:t>
      </w:r>
    </w:p>
    <w:p>
      <w:pPr>
        <w:spacing w:line="580" w:lineRule="exact"/>
        <w:ind w:firstLine="640"/>
        <w:jc w:val="both"/>
      </w:pPr>
      <w:r>
        <w:rPr>
          <w:rFonts w:ascii="仿宋_GB2312" w:hAnsi="仿宋_GB2312" w:eastAsia="仿宋_GB2312"/>
          <w:b w:val="0"/>
          <w:sz w:val="32"/>
        </w:rPr>
        <w:t>授予中小企业合同金额169.47万元，占政府采购支出总额的100.00%，其中：授予小微企业合同金额169.47万元，占政府采购支出总额的100.00%。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0.00平方米，价值0.00万元。车辆3辆，价值58.87万元，其中：副部（省）级及以上领导用车0辆、主要负责人用车0辆、机要通信用车0辆、应急保障用车0辆、执法执勤用车0辆、特种专业技术用车0辆、离退休干部服务用车0辆、其他用车3辆，其他用车主要是：一般公务用车。单价100万元（含）以上设备（不含车辆）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637.22万元，实际执行总额637.22万元；预算绩效评价项目10个，全年预算数272.69万元，全年执行数270.88万元。预算绩效管理取得的成效：一是完成年度整体支出绩效自评，落实预算绩效管理，保障单位机构正常运转；二是有序实施文艺创作、展览展演、人才培育等项目，用好财政资金，繁荣本土文艺事业，保障公共文化服务供给。发现的问题及原因：一是绩效指标量化程度不足，文艺类项目指标设置偏定性，源于绩效目标编制时量化测算不够充分；二是绩效动态监控不够深入，绩效和业务融合不足，常态化绩效跟踪机制有待健全。下一步改进措施：一是优化绩效指标，增加量化指标；二是做实全过程绩效监控，跟踪项目执行，及时纠偏；三是强化绩效结果运用，以绩效评价指导预算编制，提高资金使用效益。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325.56</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480.24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128.19</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522.64</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637.22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637.22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联全面贯彻落实党的二十届三中全会精神。对各团体会员开展联络、协调、服务工作，通过组织学习、深入生活、文艺创作、理论研究、学术讨论、文艺评奖、书刊出版、人才培训、对外交流和权益保护等各项工作。开展高层次人才培训工作。昌吉州文联按照工作计划开展业务，充分发挥文联政治优势，组织优势、专业优势和人才优势， 深入实施昌吉州文联“文化润疆”系列文艺创作工程，举办丰富多彩的文艺志愿服务活动，满足各族群众对精神文化生活的需求，提高基层文艺工作者的文艺水平。</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2025年我单位全年预算数为637.22 万元，全年执行数 637.22万元，总预算执行率为100.00%。2025年我单位完成以下工作内容：1.举办2次文艺晚会活动，2.开展历史文化美术主题创作活动1次 3.组织开展“十大典范行动”主题摄影创作活动1次 4.举办“北庭雅集”第八回书法作品展1次 5.开展文艺高层次人才培训班1次。通过以上工作的实施充分发挥文联政治优势，组织优势、专业优势和人才优势， 深入实施昌吉州文联“文化润疆”系列文艺创作工程，举办丰富多彩的文艺志愿服务活动，满足各族群众对精神文化生活的需求，提高基层文艺工作者的文艺水平。</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举办文艺晚会活动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昌吉州文学艺术界联合会2025年工作计划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开展历史文化美术主题创作活动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昌吉州文学艺术界联合会2025年工作计划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组织开展“十大典范行动”主题摄影创作活动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二十三届三中全会、昌吉州文联2025年工作计划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举办“北庭雅集”第八回书法作品展</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昌吉州文学艺术界联合会2025年工作计划</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开展文艺高层次人才培训班</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昌吉州高层次人才工作室建设管理办法（试行）</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2025年中央补助地方公共文化服务体系建设补助资金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95.97%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经费主要用于开展文艺辅导活动1次，开展文化惠民演出活动1次，完成文艺惠民演出劳务费支出13万元，交通费支出2.58万元，其他活动费用14.42万元，活动完成保障率达100%，通过项目的实施，有效提升公共文化服务水平，群众满意度达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截至2025年12月31日，该项目实际完成支付 28.79万元，资金执行率95.97%。本项目实际完成开展文艺辅导活动1次，开展文化惠民演出活动1次，完成文艺惠民演出劳务费支出13万元，交通费支出2.58万元，其他活动费用113.21万元，活动完成保障率达100%，通过项目的实施，有效提升公共文化服务水平，群众满意度达95%。</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开展文艺辅导活动场次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开展文艺惠民演出活动次数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文艺惠民演出活动完成时间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文艺惠民演出劳务费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文艺惠民活动交通费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文艺惠民活动其他成本费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项目已全部完成，资金节约 1.21 万元，结余资金财政已收回。</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提升公共文化服务水平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群众满意度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2025年度人才工作经费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评选文化名家2人，文化名人1人，评选高层次人才工作室3家，文化名家补助标准1万元/人，文化名人补助标准3万元/人，高层次人才工作室补助标准3万元/家，共发放支持金额14万元。通过项目实施有效提升人才社会地位及职业荣誉感，人才工作满意度达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14万元，资金执行率100%，本项目实际完成评选文化名家2人，文化名人1人，评选高层次人才工作室3家，文化名家补助标准1万元/人，文化名人补助标准3万元/人，高层次人才工作室补助标准3万元/家。通过项目实施有效提升人才社会地位及职业荣誉感，人才工作满意度达95%。</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庭州文化名家人数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高层次人才工作室数量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庭州文化名人人数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补助发放准确率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高层次人才工作室补助标准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文化名家补助标准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文化名人补助标准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=3万元/人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提升人才社会地位、职业荣誉感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人才工作满意度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州文联追加单位资金预算-“丝路同源·山海交响”-闽昌艺术创作交流活动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本项目2026年计划投入资金24万元，计划开展采风创作交流活动1次，开展闽昌文艺创作研讨会1次，词曲创作7首，通过项目的实施深度挖掘昌吉州特色文化，不断促进闽昌两地文艺交融互鉴。</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2026年实际支出资金24万元，资金执行率100%，本项目实际完成采风创作交流活动1次，开展闽昌文艺创作研讨会1次，词曲创作7首，通过项目的实施深度挖掘昌吉州特色文化，不断促进闽昌两地文艺交融互鉴。</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开展采风创作交流活动次数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开展闽昌文艺创作研讨会次数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词曲创作数量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&gt;=7首</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128.57%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-28.57%。偏差原因为：主要是闽昌艺术创作交流会组织引领有力，创作氛围浓厚，人才队伍激活，创作能力提升，创作素材丰富，创作热情高涨。下一年改进措施稳量提质，做强精品创作，总结经验，提升工作水平。</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资金支付准确率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艺术创作交流活动食宿及交通费用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艺术创作交流活动作品相关费用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词曲创作费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=0.7万元/首</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=0.7万元/首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促进闽昌两地文艺交融互鉴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不断促进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参与人员满意度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州文联追加单位资金预算-“丝路同源·山海交响”闽昌中国花鸟画艺术创作三交活动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经费9.40万元，主要用于开展“丝路同源·山海交响”闽昌中国花鸟画艺术创作交流活动2次，22名文艺学者参加中国花鸟画艺术创作交流活动，完通过项目的实施，有效提升昌吉地区书画创作水平，活动参与人员满意度达95%。</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实际完成实际支出经费9.40万元，资金执行率100%，本项目实际完成开展“丝路同源·山海交响”闽昌中国花鸟画艺术创作交流活动2次，22名文艺学者参加中国花鸟画艺术创作交流活动，完通过项目的实施，有效提升昌吉地区书画创作水平，活动参与人员满意度达95%。</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看展花鸟画艺术创作交流活动次数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参加中国花鸟画艺术创作交流活动人数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创作交流活动保障率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创作交流活动完成时间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交流活动交通费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食宿费成本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&lt;=4.63万元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&lt;=2.97万元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提升昌吉地区书画创作水平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活动参与人员满意度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州文联追加单位资金预算-“庭州翰墨”山水画创作研修班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该项目计划支出23.74万元。主要用于开展“庭州翰墨”山水画创作研修班1个，完成40名学员培训，培训出勤率达60%，通过项目的实施，不断提高学员创作水平，大力弘扬中华优秀传统文化，培训学员满意度达90%。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实际完成支出23.74万元，资金执行率100%，本项目实际完成开展“庭州翰墨”山水画创作研修班1个，完成40名学员培训，培训出勤率达60%，通过项目的实施，不断提高学员创作水平，大力弘扬中华优秀传统文化，培训学员满意度达90%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开展山水画创作课程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=22节</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=22节</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山水画研修班培训学员人数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=61.03%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101.72%</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-1.72%。偏差原因为：主要山水画创作研修班工作培训，前期通知、提醒、动员工作扎实，各单位重视程度高，各单位参加意愿强积极性高，课程实用性强，与岗位工作紧密相关。下一年改进措施：总结提炼成功经验，持续优化通知、时间、内容安排，提升计划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培训班交通费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&lt;=7.14万元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=7.14万元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培训班食宿费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&lt;=2.87万元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&lt;=13.73万元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=13.73万元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提高学员创作水平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弘扬中华优秀传统文化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大力弘扬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州文联追加单位资金预算-昌吉州中青年文艺领军人才专题培训班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投入13.5万元，项目主要用于开展昌吉州中青年文艺领军人才培训班1期，培训学员30名，培训学员按照每人每天500元标准进行支付，通过项目实施加快推进昌吉州文艺工作高质量发展，使培训学员满意度达90%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13.5万元，资金执行率100%，本项目实际完成开展昌吉州中青年文艺领军人才培训班1期，培训学员30人，培训学员按照每人每天500元标准进行支付，通过项目实施加快推进昌吉州文艺工作高质量发展，提升了文化文艺涵养及文艺创作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开展中青年文艺领军人才培训班期数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=1期</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学员培训费标准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&lt;=500元/人/天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推进昌吉州文艺工作高质量发展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加快推进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培训学员满意度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文艺家协会工作经费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昌吉回族自治州文学艺术界联合会本级</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49.90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经费主要用于举办文艺活动6次，开展文艺人才培训1次，人员培训出勤率达到100%，完成文艺活动费用支出34万元，培训成本支出8万元，其他相关费用支出8万元，培训人员满意度达到95%，通过该项目的实施不断推进文艺事业的繁荣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实际完成实际支出49.9万，资金执行率99.8%，本项目实际完成举办文艺活动6次，开展文艺人才培训1次，人员培训出勤率达到100%，完成文艺活动费用支出34万元，培训成本支出7.9万元，其他相关费用支出8万元，培训人员满意度达到95%，通过该项目的实施不断推进文艺事业的繁荣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举办文艺活动次数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文艺人才培训次数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文艺活动完成时间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2024年11月30日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文艺活动业务费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文艺人才培训费成本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2.91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培训通过公开招标，中标价格低于预算控制上限，市场报价下浮，节约设备采购资金，形成预算结余。改进措施：后续编制预算时充分调研市场行情，细化设备询价测算；招标阶段严控采购标准，合理压缩预算预留空间，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其他相关费用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不断推进文艺事业的繁荣发展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不断推进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昌吉州第六批高层次人才（技能大师）工作室经费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经费主要用于成立第六批高层次人才（技能大师）工作室4个，工作室建设的完成率和及时率均达到100%，每个工作室补助经费支出5万元，合计20万元。培训人员满意度达到95%，通过该项目的实施充分发挥高层次人才积极性，工作室在行业内树立良好形象，不断推动行业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该项目实际支付20万，资金执行率100%，本项目实际完成第六批高层次人才（技能大师）工作室4个，工作室建设的完成率和及时率均达到100%，每个工作室补助经费支出5万元。培训人员满意度达到95%，通过该项目的实施充分发挥高层次人才积极性，工作室在行业内树立良好形象，不断推动行业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成立第六批高层次人才（技能大师）工作室</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工作室建设完成率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工作室建设完成时间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工作室补助标准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预算成本控制率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推动行业发展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工作室成员满意度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-5.26%。偏差原因为：年初设定指标时略有保守，不够精确，未达到预期指标。下一年改进措施：在编制下一年绩效目标时结合实际情况，将目标适度上调，确保绩效目标合理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昌州财教【2025】16号昌吉州2025年文艺创作扶持奖励资金项目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2025年文艺创作扶持奖励资金项目项目投入资金30万元，完成文艺扶持创作项目2个，文艺创作合格率达100%，通过项目实施有效提升昌吉州文艺创作水平，文艺创作者满意度达到100%。</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截至2025年12月31日，本项目支付资金30万元，资金执行率100%，本项目实际完成文艺扶持创作项目2个，文艺创作合格率达100%，通过项目实施有效提升昌吉州文艺创作水平，文艺创作者满意度达到100%。</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文艺创作扶持项目数量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文艺创作合格率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扶持项目委托业务成本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提升昌吉州文艺创作水平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文艺创作者满意度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机构运行补助经费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昌吉回族自治州文学艺术界联合会</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99.14%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197.08</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58.05</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57.55</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我单位12人正常工作秩序，及时合规采购办公用品2批，完成百花迎春活动费用7.21万元，文联展厅项目尾款8万元，其他相关费用42.84万元，通过项目实施保障单位正常运转，调动职工工作积极性，提高业务开展效率，提升公共服务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实际支付57.55万元，资金执行率99.14%，本项目实际完成保障我单位12人正常工作秩序，及时合规采购办公用品2批，开展百花迎春活动1场次，完成百花迎春活动费用7.21万元，文联展厅项目尾款8万元，其他相关费用42.34万元，通过项目实施保障单位正常运转，调动职工工作积极性，提高业务开展效率，提升公共服务能力。</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保障办公人员数量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&gt;=12人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108.33%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此项指标未完成，存在偏差，偏差率为-8.33%。偏差原因为：主要相对于年初今年增加1人，人才引进人员1人。下一年改进措施：积极跟办公室沟通人员情况。</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完成办公用品采购批次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&gt;=2批</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开展百花迎春活动场次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百花迎春活动费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=7.21万元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文联展厅项目尾款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其他相关费用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&lt;=42.84万元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1.17%。偏差原因为：编制预算偏保守，采购前多方询价、对此供应商报价，择优选择性价比高的产品，有效降低成本，按需配置按需采购，不冗余及市场价格波动，实际成本低于年初测算。下一年改进措施：提高预算编制精准度，固化优质供应商，加强规范采购流程。</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本单位无其他需说明的事项。</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