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昌吉回族自治州文化市场综合执法队</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将自治州文化体育广播影视局（新闻出版局［版权局］）执法支队的职责、自治州旅游执法支队（自治州旅游质量监督管理所）的职责以及自治州文化市场管理领导小组（“扫黄打非”领导小组）办公室“扫黄打非”有关职责整合，组建自治州文化市场综合执法队，机构规格为副处级。自治州文化市场综合执法队由自治州文化体育广播电视和旅游局负责管理，并以自治州文化体育广播电视和旅游局的名义实施执法。统一行使文化、文物、出版、广播电视、电影、旅游市场行政执法职责，承担“扫黄打非”有关工作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昌吉回族自治州文化市场综合执法队无下属预算单位。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2025年度收入总计399.99万元，</w:t>
      </w:r>
      <w:r>
        <w:rPr>
          <w:rFonts w:ascii="仿宋_GB2312" w:hAnsi="仿宋_GB2312" w:eastAsia="仿宋_GB2312"/>
          <w:b w:val="0"/>
          <w:sz w:val="32"/>
        </w:rPr>
        <w:t>其中：本年收入合计395.43万元，使用非财政拨款结余（含专用结余）0.00万元，年初结转和结余4.56万元。</w:t>
      </w:r>
    </w:p>
    <w:p>
      <w:pPr>
        <w:spacing w:line="580" w:lineRule="exact"/>
        <w:ind w:firstLine="640"/>
        <w:jc w:val="both"/>
      </w:pPr>
      <w:r>
        <w:rPr>
          <w:rFonts w:ascii="仿宋_GB2312" w:hAnsi="仿宋_GB2312" w:eastAsia="仿宋_GB2312"/>
          <w:b/>
          <w:sz w:val="32"/>
        </w:rPr>
        <w:t>2025年度支出总计399.99万元，</w:t>
      </w:r>
      <w:r>
        <w:rPr>
          <w:rFonts w:ascii="仿宋_GB2312" w:hAnsi="仿宋_GB2312" w:eastAsia="仿宋_GB2312"/>
          <w:b w:val="0"/>
          <w:sz w:val="32"/>
        </w:rPr>
        <w:t>其中：本年支出合计395.41万元，结余分配0.00万元，年末结转和结余4.59万元。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减少24.27万元，下降5.72%，主要原因是：本年在职人员减少，相关人员经费较上年减少。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本年收入395.43万元，</w:t>
      </w:r>
      <w:r>
        <w:rPr>
          <w:rFonts w:ascii="仿宋_GB2312" w:hAnsi="仿宋_GB2312" w:eastAsia="仿宋_GB2312"/>
          <w:b w:val="0"/>
          <w:sz w:val="32"/>
        </w:rPr>
        <w:t>其中：财政拨款收入395.41万元，占99.99%；上级补助收入0.00万元，占0.00%；事业收入0.00万元，占0.00%；经营收入0.00万元，占0.00%；附属单位上缴收入0.00万元，占0.00%；其他收入0.02万元，占0.005%。</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本年支出395.41万元，</w:t>
      </w:r>
      <w:r>
        <w:rPr>
          <w:rFonts w:ascii="仿宋_GB2312" w:hAnsi="仿宋_GB2312" w:eastAsia="仿宋_GB2312"/>
          <w:b w:val="0"/>
          <w:sz w:val="32"/>
        </w:rPr>
        <w:t>其中：基本支出318.31万元，占80.50%；项目支出77.10万元，占19.50%；上缴上级支出0.00万元，占0.00%；经营支出0.00万元，占0.00%；对附属单位补助支出0.00万元，占0.00%。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2025年度财政拨款收入总计395.41万元，</w:t>
      </w:r>
      <w:r>
        <w:rPr>
          <w:rFonts w:ascii="仿宋_GB2312" w:hAnsi="仿宋_GB2312" w:eastAsia="仿宋_GB2312"/>
          <w:b w:val="0"/>
          <w:sz w:val="32"/>
        </w:rPr>
        <w:t>其中：年初财政拨款结转和结余0.00万元，本年财政拨款收入395.41万元。</w:t>
      </w:r>
      <w:r>
        <w:rPr>
          <w:rFonts w:ascii="仿宋_GB2312" w:hAnsi="仿宋_GB2312" w:eastAsia="仿宋_GB2312"/>
          <w:b/>
          <w:sz w:val="32"/>
        </w:rPr>
        <w:t>财政拨款支出总计395.41万元，</w:t>
      </w:r>
      <w:r>
        <w:rPr>
          <w:rFonts w:ascii="仿宋_GB2312" w:hAnsi="仿宋_GB2312" w:eastAsia="仿宋_GB2312"/>
          <w:b w:val="0"/>
          <w:sz w:val="32"/>
        </w:rPr>
        <w:t>其中：年末财政拨款结转和结余0.00万元，本年财政拨款支出395.41万元。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减少24.28万元，下降5.79%，主要原因是：本年在职人员减少，相关人员经费较上年减少。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年初预算数366.99万元，决算数395.41万元，预决算差异率7.74%，主要原因是：年中追加人员工资、绩效奖金，导致预决算存在差异。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文化旅游体育与传媒支出（类）文化和旅游（款）行政运行（项）的支出占本年财政拨款支出总额的比重最高，2025年度决算数为316.01万元，占比79.92%，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2025年度一般公共预算财政拨款支出395.41万元，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减少24.28万元，下降5.79%，主要原因是：本年在职人员减少，相关人员经费较上年减少。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年初预算数366.99万元，决算数395.41万元，预决算差异率7.74%，主要原因是：年中追加人员工资、绩效奖金，导致预决算存在差异。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1.文化旅游体育与传媒支出（类）393.11万元，占99.42%。</w:t>
      </w:r>
    </w:p>
    <w:p>
      <w:pPr>
        <w:spacing w:line="580" w:lineRule="exact"/>
        <w:ind w:firstLine="640"/>
        <w:jc w:val="both"/>
      </w:pPr>
      <w:r>
        <w:rPr>
          <w:rFonts w:ascii="仿宋_GB2312" w:hAnsi="仿宋_GB2312" w:eastAsia="仿宋_GB2312"/>
          <w:b w:val="0"/>
          <w:sz w:val="32"/>
        </w:rPr>
        <w:t>2.社会保障和就业支出（类）2.30万元，占0.58%。</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1.文化旅游体育与传媒支出（类）文化和旅游（款）行政运行（项）：支出决算数为316.01万元，比上年决算减少20.88万元，下降6.20%，主要原因是：本年在职人员减少，相应人员经费较上年减少。</w:t>
      </w:r>
    </w:p>
    <w:p>
      <w:pPr>
        <w:spacing w:line="580" w:lineRule="exact"/>
        <w:ind w:firstLine="640"/>
        <w:jc w:val="both"/>
      </w:pPr>
      <w:r>
        <w:rPr>
          <w:rFonts w:ascii="仿宋_GB2312" w:hAnsi="仿宋_GB2312" w:eastAsia="仿宋_GB2312"/>
          <w:b w:val="0"/>
          <w:sz w:val="32"/>
        </w:rPr>
        <w:t>2.文化旅游体育与传媒支出（类）文化和旅游（款）文化和旅游市场管理（项）：支出决算数为77.10万元，比上年决算增加3.89万元，增长5.31%，主要原因是：本年功能科目调整，文化市场执法队运转经费由文化和旅游管理事务科目调整至文化和旅游市场管理科目，经费较上年增加。</w:t>
      </w:r>
    </w:p>
    <w:p>
      <w:pPr>
        <w:spacing w:line="580" w:lineRule="exact"/>
        <w:ind w:firstLine="640"/>
        <w:jc w:val="both"/>
      </w:pPr>
      <w:r>
        <w:rPr>
          <w:rFonts w:ascii="仿宋_GB2312" w:hAnsi="仿宋_GB2312" w:eastAsia="仿宋_GB2312"/>
          <w:b w:val="0"/>
          <w:sz w:val="32"/>
        </w:rPr>
        <w:t>3.文化旅游体育与传媒支出（类）文化和旅游（款）文化和旅游管理事务（项）：支出决算数为0.00万元，比上年决算减少9.60万元，下降100.00%，主要原因是：本年功能科目调整，文化市场执法队运转经费由文化和旅游管理事务科目调整至文化和旅游市场管理科目，经费较上年减少。</w:t>
      </w:r>
    </w:p>
    <w:p>
      <w:pPr>
        <w:spacing w:line="580" w:lineRule="exact"/>
        <w:ind w:firstLine="640"/>
        <w:jc w:val="both"/>
      </w:pPr>
      <w:r>
        <w:rPr>
          <w:rFonts w:ascii="仿宋_GB2312" w:hAnsi="仿宋_GB2312" w:eastAsia="仿宋_GB2312"/>
          <w:b w:val="0"/>
          <w:sz w:val="32"/>
        </w:rPr>
        <w:t>4.社会保障和就业支出（类）行政事业单位养老支出（款）行政单位离退休（项）：支出决算数为2.30万元，比上年决算增加2.30万元，增长100.00%，主要原因是：2024年末增加退休人员，本年开始发放退休费，导致退休费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2025年度一般公共预算财政拨款基本支出318.31万元，其中：</w:t>
      </w:r>
      <w:r>
        <w:rPr>
          <w:rFonts w:ascii="仿宋_GB2312" w:hAnsi="仿宋_GB2312" w:eastAsia="仿宋_GB2312"/>
          <w:b/>
          <w:sz w:val="32"/>
        </w:rPr>
        <w:t>人员经费293.67万元，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公用经费24.63万元，</w:t>
      </w:r>
      <w:r>
        <w:rPr>
          <w:rFonts w:ascii="仿宋_GB2312" w:hAnsi="仿宋_GB2312" w:eastAsia="仿宋_GB2312"/>
          <w:b w:val="0"/>
          <w:sz w:val="32"/>
        </w:rPr>
        <w:t>包括：办公费、印刷费、水费、电费、邮电费、取暖费、差旅费、维修（护）费、公务接待费、劳务费、委托业务费、工会经费、福利费、公务用车运行维护费、其他商品和服务支出。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2025年度财政拨款“三公”经费支出4.71万元，</w:t>
      </w:r>
      <w:r>
        <w:rPr>
          <w:rFonts w:ascii="仿宋_GB2312" w:hAnsi="仿宋_GB2312" w:eastAsia="仿宋_GB2312"/>
          <w:b w:val="0"/>
          <w:sz w:val="32"/>
        </w:rPr>
        <w:t>比上年增加0.14万元，增长3.06%，主要原因是：本年因业务需求，增加公务接待工作，导致公务接待费较上年增加。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公务用车购置及运行维护费支出4.50万元，占95.54%，比上年增加0.00万元，增长0.00%，主要原因是：本单位公务用车购置及运行维护费与上年一致无变化。</w:t>
      </w:r>
      <w:r>
        <w:rPr>
          <w:rFonts w:ascii="仿宋_GB2312" w:hAnsi="仿宋_GB2312" w:eastAsia="仿宋_GB2312"/>
          <w:b w:val="0"/>
          <w:sz w:val="32"/>
        </w:rPr>
        <w:t>公务接待费支出0.21万元，占4.46%，比上年增加0.14万元，增长200.00%，主要原因是：本年因业务需求，增加公务接待工作，导致公务接待费较上年增加。</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4.50万元，其中：公务用车购置费0.00万元，公务用车运行维护费4.50万元。公务用车运行维护费开支内容包括车辆加油费、维修费、保险费、审车费、过路费等。公务用车购置数0辆，公务用车保有量3辆。国有资产占用情况中固定资产车辆3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公务接待费0.21万元，开支内容包括因佛山文旅局来昌吉州开展对口交流活动产生的就餐费。单位全年安排的国内公务接待3批次，25人次。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4.71万元，决算数4.71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4.50万元，决算数4.50万元，预决算差异率0.00%，主要原因是：严格按照预算执行，预决算无差异。公务接待费全年预算数0.21万元，决算数0.21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文化市场综合执法队（行政单位和参照公务员法管理事业单位）机关运行经费支出24.63万元，比上年减少2.04万元，下降7.65%，主要原因是：本年严格控制公用经费，合理节约办公用品，减少不必要开支。</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2025年度政府采购支出总额59.81万元，其中：政府采购货物支出9.54万元、政府采购工程支出0.00万元、政府采购服务支出50.27万元。</w:t>
      </w:r>
    </w:p>
    <w:p>
      <w:pPr>
        <w:spacing w:line="580" w:lineRule="exact"/>
        <w:ind w:firstLine="640"/>
        <w:jc w:val="both"/>
      </w:pPr>
      <w:r>
        <w:rPr>
          <w:rFonts w:ascii="仿宋_GB2312" w:hAnsi="仿宋_GB2312" w:eastAsia="仿宋_GB2312"/>
          <w:b w:val="0"/>
          <w:sz w:val="32"/>
        </w:rPr>
        <w:t>授予中小企业合同金额59.81万元，占政府采购支出总额的100.00%，其中：授予小微企业合同金额59.81万元，占政府采购支出总额的100.00%。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3辆，价值77.16万元，其中：副部（省）级及以上领导用车0辆、主要负责人用车0辆、机要通信用车0辆、应急保障用车0辆、执法执勤用车3辆、特种专业技术用车0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399.99万元，实际执行总额395.40万元；预算绩效评价项目2个，全年预算数77.10万元，全年执行数77.10万元。预算绩效管理取得的成效：一是当前检查仍以人工现场巡查为主，缺乏信息化、数字化监管工具的支撑，对偏远地区、高频次经营场所的监管存在时间和空间上的局限，难以实现全时段、全方位的动态监管；二是执法数据的整合分析能力不足，对违法违规行为的趋势研判、风险预警缺乏数据支撑，监管工作多以事后处置为主，事前预防和事中管控的能力较弱。主要原因在于，项目经费更多保障了常规巡查和基础装备，对智慧监管平台、远程监控系统等信息化建设投入不足，同时缺乏系统的执法数据应用培训，导致现有监管模式难以适应日益复杂的文化市场业态发展需求，制约了监管效能的进一步提升。发现的问题及原因：一是监管力量仍集中于城区重点场所，对偏远乡镇、农牧区的文化市场经营主体检查频次不足，存在监管盲区。主要原因在于，昌吉州地域辽阔，乡镇文化经营场所分布分散、距离远，执法人员跨区域巡查需投入大量时间和交通成本，受限于执法车辆、人员配置等客观条件，难以实现高频次、全覆盖的常态化监管。同时，部分乡镇经营场所多为小型个体经营户，存在经营时间不固定、证照不全、经营行为隐蔽等问题，增加了排查难度，导致偏远地区的违法违规行为难以及时发现和处置，影响了全州文化市场监管的均衡性和全面性；二是当前项目监管仍以人工现场巡查为主，信息化、智慧化监管工具应用不足，对新业态、隐蔽性违法违规行为的监管效率不高。主要原因在于，项目经费重点保障了常规巡查、培训及基础装备采购，未专门设置智慧监管平台、远程视频监控、移动执法终端等信息化建设经费，缺乏对数字化监管系统的持续投入。同时，现有执法数据未能实现跨部门共享和深度分析，无法通过大数据手段开展风险预警和趋势研判，导致监管工作多为事后处置，事前预防、事中管控的能力较弱，难以适应文化市场业态多元化、经营方式网络化的发展趋势，制约了监管效能的进一步提升。下一步改进措施：一是推行“分片包干+交叉检查”机制，将全州划片分区，明确各片区监管责任主体，定期开展跨区域交叉检查，缓解偏远地区巡查频次不足问题；二是依托乡镇综合执法力量，建立文化市场协管员队伍，开展基层协管员业务培训，打通监管“最后一公里”；三是优化巡查计划，将偏远乡镇经营场所纳入年度重点检查清单，合理调配执法车辆与人员，适当增加偏远地区巡查批次，实现全州文化市场监管无死角、全覆盖。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昌吉回族自治州文化市场综合执法队</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366.98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395.40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395.40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366.98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399.99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395.40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98.85%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9.89</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1、文化部关于进一步加强文化市场管理工作的若干意见：加强文化市场监督管理，是政府部门的法定职责；2.新疆维吾尔自治区行政执法监督条例第一章第五条：行政执法监督工作所需经费由本级财政预算予以保障。3.文物法4.新文旅发（2024）1号：自治区党委宣传部自治区文化和旅游厅（文物局）自治区广播电视局印发《关于进一步完善文化市场综合执法运行机制的实施意见》的通知。通过全面履行文化、文物、新闻出版、广播电视、电影、旅游市场行政执法职能，检查党的全面领导，坚持以铸牢中华民族共同体意识为主线，明确执法权责，健全执法机制，统筹执法资源，提升执法效能，强化执法监管。推动建立权责明晰、上下贯通，指挥通畅、运行高效、保障有力的文化市场综合行政执法体系。现阶段：落实市场主体守法经营责任，综合执法机构执法责任，行政主管部门监管责任。具体工作：1.强化执法促发展。紧紧围绕文化体育、广播电影电视、新闻出版、旅游等领域，全面履行行政执法职能，明确执法权责，强化执法监管，扎实开展了文化娱乐市场、地面广播电视卫星接收设施综合整治和同心护旅、扫黄打非等专项行动；2.创新执法提质效。创新开展“执法+服务”活动，推行“菜单式”普法培训，开展了“一对一”案卷审核辅导、 “开门评执法三个面对面”征求意见活动以及法治大课堂、视频调度执法等，实现了动态监管，实时互通，更好的推动了文化事业繁荣发展。3.练好“内功”强能力。计划高质量举办全州文化市场综合执法业务培训暨岗位练兵技能竞赛活动，达到提升全州文化市场综合执法人员的业务能力和水平。把人民群众作为推进文化市场综合行政执法的出发点和落脚点，不断增强人民群众的获得感、幸福感、安全感。</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2025年我单位全年预算数为399.99 万元，全年执行数为395.4万元，总预算执行率为 98.85%。2025年我单位完成以下工作内容：1.开展专项巡查5次；2.完成1次现场执法技能培训授课；3.开展“扫黄打非”联合检查。通过以上工作的实施，保障全州文化、文物、出版、广播电视、电影、旅游市场健康有序发展，以高质量执法服务护航全州文化旅游事业高质量发展。</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投诉案件办结率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计划、自治区党委宣传部自治区文化和旅游厅（文物局）自治区广播电视局印发《关于进一步完善文化市场综合行政执法运行机构的实施意见》的通知、文化部关于进一步加强文化市场管理工作的若干意见、新疆维吾尔自治区行政执法监督条例</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对出版物市场监督检查覆盖率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25年工作计划、自治区党委宣传部自治区文化和旅游厅（文物局）自治区广播电视局印发《关于进一步完善文化市场综合行政执法运行机构的实施意见》的通知、文化部关于进一步加强文化市场管理工作的若干意见、新疆维吾尔自治区行政执法监督条例</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开展专项巡查次数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计划、自治区党委宣传部自治区文化和旅游厅（文物局）自治区广播电视局印发《关于进一步完善文化市场综合行政执法运行机构的实施意见》的通知、文化部关于进一步加强文化市场管理工作的若干意见、新疆维吾尔自治区行政执法监督条例</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完成现场执法技能培训授课次数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计划、自治区党委宣传部自治区文化和旅游厅（文物局）自治区广播电视局印发《关于进一步完善文化市场综合行政执法运行机构的实施意见》的通知、文化部关于进一步加强文化市场管理工作的若干意见、新疆维吾尔自治区行政执法监督条例</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开展“扫黄打非”联合检查次数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计划、自治区党委宣传部自治区文化和旅游厅（文物局）自治区广播电视局印发《关于进一步完善文化市场综合行政执法运行机构的实施意见》的通知、文化部关于进一步加强文化市场管理工作的若干意见、新疆维吾尔自治区行政执法监督条例</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文化市场执法队运转经费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昌吉回族自治州文化市场综合执法队</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因本单位不属于综合楼，不在机关事务局后勤服务中心服务范围，财政需保障保安、保洁等物业费用。且由于我单位属于执法单位，长期需要下县市督查检查文化市场管理工作，我单位车辆编制3辆，目前实有车辆2辆，实有驾驶员1人，财政需保障执法检查用车需求驾驶服务费用。从而保障单位及文化市场检查日常工作顺利开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截至2025年12月31日，本项目支出资金17.1万元，资金执行率100%，本项目实际完成雇佣保安、保洁及驾驶员三人，保障我单位及文化市场检查日常工作顺利开展。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保障人员数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保安工作保障费用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保洁工作保障费用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驾驶工作保障费用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保障日常工作正常开展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雇佣单位满意度（%）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3.16%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文化市场管理经费项目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昌吉回族自治州文化市场综合执法队</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本项目计划开展文化市场检查数量40次，执法人员培训班数量（次）1次，设备购置数量（批）1批，保障执法人员培训工作，本项目的开展能够有效整治文化市场，提升文化环境。</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60万元，资金执行率100%，本项目实际完成全年文化市场检查50次，鉴定出版物1批，全年举办培训班2次，共6天，文化市场检查完成率达到100%，培训班培训完成率达到100%，通过该项目的实施，提升了广大群众学法懂法守法用法的意识、管理能力和水平，促进文化产业发展、满足人民群众精神文化需求发挥了重要作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文化市场检查数量（次）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15%，偏差原因为：我单位在前期设定文化市场检查数量（次）指标时，根据上一年度文化市场检查数量，设定了保守目标值，今年自治区及上级单位开展两次联合调查，故与实际完成值产生偏差；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执法人员培训班数量（次）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设备购置数量（批）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执法人员培训班保障率（%）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2024年11月底</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文化市场管理工作成本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&lt;=33.34万元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=33.34万元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文化市场培训成本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文化市场设备购买成本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&lt;=19.66万元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=19.66万元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有效整治文化市场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有效整治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有效整治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提升文化环境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群众对执法工作满意度（%）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