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DE1098">
      <w:pPr>
        <w:rPr>
          <w:rFonts w:hint="eastAsia" w:ascii="黑体" w:hAnsi="黑体" w:eastAsia="黑体"/>
          <w:sz w:val="32"/>
          <w:szCs w:val="32"/>
        </w:rPr>
      </w:pPr>
    </w:p>
    <w:p w14:paraId="7E2F62AB">
      <w:pPr>
        <w:jc w:val="center"/>
        <w:rPr>
          <w:rFonts w:hint="eastAsia" w:ascii="方正小标宋_GBK" w:hAnsi="宋体" w:eastAsia="方正小标宋_GBK"/>
          <w:sz w:val="44"/>
          <w:szCs w:val="44"/>
        </w:rPr>
      </w:pPr>
    </w:p>
    <w:p w14:paraId="7AE936F3">
      <w:pPr>
        <w:jc w:val="center"/>
        <w:rPr>
          <w:rFonts w:hint="eastAsia" w:ascii="方正小标宋_GBK" w:hAnsi="宋体" w:eastAsia="方正小标宋_GBK"/>
          <w:sz w:val="44"/>
          <w:szCs w:val="44"/>
        </w:rPr>
      </w:pPr>
    </w:p>
    <w:p w14:paraId="5FEDF9CB">
      <w:pPr>
        <w:jc w:val="center"/>
        <w:rPr>
          <w:rFonts w:hint="eastAsia" w:ascii="方正小标宋_GBK" w:hAnsi="宋体" w:eastAsia="方正小标宋_GBK"/>
          <w:sz w:val="44"/>
          <w:szCs w:val="44"/>
        </w:rPr>
      </w:pPr>
    </w:p>
    <w:p w14:paraId="4794C1C7">
      <w:pPr>
        <w:jc w:val="center"/>
        <w:rPr>
          <w:rFonts w:hint="eastAsia" w:ascii="方正小标宋_GBK" w:hAnsi="宋体" w:eastAsia="方正小标宋_GBK"/>
          <w:sz w:val="44"/>
          <w:szCs w:val="44"/>
        </w:rPr>
      </w:pPr>
    </w:p>
    <w:p w14:paraId="2FB3E0A1">
      <w:pPr>
        <w:spacing w:line="640" w:lineRule="exact"/>
        <w:jc w:val="center"/>
        <w:rPr>
          <w:rFonts w:hint="eastAsia" w:ascii="方正小标宋_GBK" w:hAnsi="宋体" w:eastAsia="方正小标宋_GBK"/>
          <w:sz w:val="44"/>
          <w:szCs w:val="44"/>
        </w:rPr>
      </w:pPr>
      <w:r>
        <w:rPr>
          <w:rFonts w:hint="eastAsia" w:ascii="方正小标宋_GBK" w:hAnsi="宋体" w:eastAsia="方正小标宋_GBK"/>
          <w:sz w:val="44"/>
          <w:szCs w:val="44"/>
        </w:rPr>
        <w:t>昌吉回族自治州退役军人事务局</w:t>
      </w:r>
    </w:p>
    <w:p w14:paraId="55AD8026">
      <w:pPr>
        <w:spacing w:line="640" w:lineRule="exact"/>
        <w:jc w:val="center"/>
        <w:rPr>
          <w:rFonts w:hint="eastAsia" w:ascii="方正小标宋_GBK" w:hAnsi="宋体" w:eastAsia="方正小标宋_GBK"/>
          <w:sz w:val="44"/>
          <w:szCs w:val="44"/>
        </w:rPr>
      </w:pPr>
      <w:r>
        <w:rPr>
          <w:rFonts w:hint="eastAsia" w:ascii="方正小标宋_GBK" w:hAnsi="宋体" w:eastAsia="方正小标宋_GBK"/>
          <w:sz w:val="44"/>
          <w:szCs w:val="44"/>
        </w:rPr>
        <w:t>2025年度部门决算公开说明</w:t>
      </w:r>
      <w:bookmarkStart w:id="0" w:name="_GoBack"/>
      <w:bookmarkEnd w:id="0"/>
      <w:r>
        <w:rPr>
          <w:rFonts w:hint="eastAsia" w:ascii="方正小标宋_GBK" w:hAnsi="宋体" w:eastAsia="方正小标宋_GBK"/>
          <w:sz w:val="44"/>
          <w:szCs w:val="44"/>
        </w:rPr>
        <w:t/>
      </w:r>
    </w:p>
    <w:p w14:paraId="7C1A23FE">
      <w:pPr>
        <w:spacing w:line="600" w:lineRule="exact"/>
        <w:jc w:val="center"/>
        <w:rPr>
          <w:rFonts w:hint="eastAsia" w:ascii="仿宋_GB2312" w:hAnsi="仿宋_GB2312" w:eastAsia="仿宋_GB2312" w:cs="仿宋_GB2312"/>
          <w:bCs/>
          <w:kern w:val="0"/>
          <w:sz w:val="32"/>
          <w:szCs w:val="32"/>
        </w:rPr>
      </w:pPr>
      <w:r>
        <w:rPr>
          <w:rFonts w:hint="eastAsia" w:ascii="方正小标宋_GBK" w:hAnsi="宋体" w:eastAsia="方正小标宋_GBK"/>
          <w:sz w:val="44"/>
          <w:szCs w:val="44"/>
        </w:rPr>
        <w:br w:type="page"/>
      </w:r>
      <w:r>
        <w:rPr>
          <w:rFonts w:hint="eastAsia" w:ascii="仿宋_GB2312" w:hAnsi="仿宋_GB2312" w:eastAsia="仿宋_GB2312" w:cs="仿宋_GB2312"/>
          <w:b/>
          <w:kern w:val="0"/>
          <w:sz w:val="36"/>
          <w:szCs w:val="36"/>
        </w:rPr>
        <w:t>目  录</w:t>
      </w:r>
    </w:p>
    <w:p w14:paraId="11E3C096">
      <w:pPr>
        <w:pStyle w:val="6"/>
        <w:tabs>
          <w:tab w:val="right" w:leader="dot" w:pos="8306"/>
        </w:tabs>
        <w:spacing w:line="6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TOC \o "1-3" \n  \h \u </w:instrText>
      </w:r>
      <w:r>
        <w:rPr>
          <w:rFonts w:hint="eastAsia" w:ascii="仿宋_GB2312" w:hAnsi="仿宋_GB2312" w:eastAsia="仿宋_GB2312" w:cs="仿宋_GB2312"/>
          <w:sz w:val="32"/>
          <w:szCs w:val="32"/>
        </w:rPr>
        <w:fldChar w:fldCharType="separate"/>
      </w:r>
      <w:r>
        <w:fldChar w:fldCharType="begin"/>
      </w:r>
      <w:r>
        <w:instrText xml:space="preserve"> HYPERLINK \l "_Toc31918" </w:instrText>
      </w:r>
      <w:r>
        <w:fldChar w:fldCharType="separate"/>
      </w:r>
      <w:r>
        <w:rPr>
          <w:rFonts w:hint="eastAsia" w:ascii="仿宋_GB2312" w:hAnsi="仿宋_GB2312" w:eastAsia="仿宋_GB2312" w:cs="仿宋_GB2312"/>
          <w:b/>
          <w:bCs/>
          <w:sz w:val="32"/>
          <w:szCs w:val="32"/>
        </w:rPr>
        <w:t>第一部分 单位概况</w:t>
      </w:r>
      <w:r>
        <w:rPr>
          <w:rFonts w:hint="eastAsia" w:ascii="仿宋_GB2312" w:hAnsi="仿宋_GB2312" w:eastAsia="仿宋_GB2312" w:cs="仿宋_GB2312"/>
          <w:b/>
          <w:bCs/>
          <w:sz w:val="32"/>
          <w:szCs w:val="32"/>
        </w:rPr>
        <w:fldChar w:fldCharType="end"/>
      </w:r>
    </w:p>
    <w:p w14:paraId="695FF0F6">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"_Toc2898" </w:instrText>
      </w:r>
      <w:r>
        <w:fldChar w:fldCharType="separate"/>
      </w:r>
      <w:r>
        <w:rPr>
          <w:rFonts w:hint="eastAsia" w:ascii="仿宋_GB2312" w:hAnsi="仿宋_GB2312" w:eastAsia="仿宋_GB2312" w:cs="仿宋_GB2312"/>
          <w:bCs/>
          <w:kern w:val="0"/>
          <w:sz w:val="32"/>
          <w:szCs w:val="32"/>
        </w:rPr>
        <w:t>一、主要职能</w:t>
      </w:r>
      <w:r>
        <w:rPr>
          <w:rFonts w:hint="eastAsia" w:ascii="仿宋_GB2312" w:hAnsi="仿宋_GB2312" w:eastAsia="仿宋_GB2312" w:cs="仿宋_GB2312"/>
          <w:bCs/>
          <w:kern w:val="0"/>
          <w:sz w:val="32"/>
          <w:szCs w:val="32"/>
        </w:rPr>
        <w:fldChar w:fldCharType="end"/>
      </w:r>
    </w:p>
    <w:p w14:paraId="20AC0F98">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"_Toc1387" </w:instrText>
      </w:r>
      <w:r>
        <w:fldChar w:fldCharType="separate"/>
      </w:r>
      <w:r>
        <w:rPr>
          <w:rFonts w:hint="eastAsia" w:ascii="仿宋_GB2312" w:hAnsi="仿宋_GB2312" w:eastAsia="仿宋_GB2312" w:cs="仿宋_GB2312"/>
          <w:bCs/>
          <w:kern w:val="0"/>
          <w:sz w:val="32"/>
          <w:szCs w:val="32"/>
        </w:rPr>
        <w:t>二、机构设置</w:t>
      </w:r>
      <w:r>
        <w:rPr>
          <w:rFonts w:hint="eastAsia" w:ascii="仿宋_GB2312" w:hAnsi="仿宋_GB2312" w:eastAsia="仿宋_GB2312" w:cs="仿宋_GB2312"/>
          <w:bCs/>
          <w:kern w:val="0"/>
          <w:sz w:val="32"/>
          <w:szCs w:val="32"/>
        </w:rPr>
        <w:fldChar w:fldCharType="end"/>
      </w:r>
    </w:p>
    <w:p w14:paraId="03DF0839">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"_Toc7559" </w:instrText>
      </w:r>
      <w:r>
        <w:fldChar w:fldCharType="separate"/>
      </w:r>
      <w:r>
        <w:rPr>
          <w:rFonts w:hint="eastAsia" w:ascii="仿宋_GB2312" w:hAnsi="仿宋_GB2312" w:eastAsia="仿宋_GB2312" w:cs="仿宋_GB2312"/>
          <w:b/>
          <w:bCs/>
          <w:sz w:val="32"/>
          <w:szCs w:val="32"/>
        </w:rPr>
        <w:t>第二部分 部门决算情况说明</w:t>
      </w:r>
      <w:r>
        <w:rPr>
          <w:rFonts w:hint="eastAsia" w:ascii="仿宋_GB2312" w:hAnsi="仿宋_GB2312" w:eastAsia="仿宋_GB2312" w:cs="仿宋_GB2312"/>
          <w:b/>
          <w:bCs/>
          <w:sz w:val="32"/>
          <w:szCs w:val="32"/>
        </w:rPr>
        <w:fldChar w:fldCharType="end"/>
      </w:r>
    </w:p>
    <w:p w14:paraId="1E4B298F">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"_Toc6321" </w:instrText>
      </w:r>
      <w:r>
        <w:fldChar w:fldCharType="separate"/>
      </w:r>
      <w:r>
        <w:rPr>
          <w:rFonts w:hint="eastAsia" w:ascii="仿宋_GB2312" w:hAnsi="仿宋_GB2312" w:eastAsia="仿宋_GB2312" w:cs="仿宋_GB2312"/>
          <w:bCs/>
          <w:kern w:val="0"/>
          <w:sz w:val="32"/>
          <w:szCs w:val="32"/>
        </w:rPr>
        <w:t>一、收入支出决算总体情况说明</w:t>
      </w:r>
      <w:r>
        <w:rPr>
          <w:rFonts w:hint="eastAsia" w:ascii="仿宋_GB2312" w:hAnsi="仿宋_GB2312" w:eastAsia="仿宋_GB2312" w:cs="仿宋_GB2312"/>
          <w:bCs/>
          <w:kern w:val="0"/>
          <w:sz w:val="32"/>
          <w:szCs w:val="32"/>
        </w:rPr>
        <w:fldChar w:fldCharType="end"/>
      </w:r>
    </w:p>
    <w:p w14:paraId="448604E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"_Toc6311" </w:instrText>
      </w:r>
      <w:r>
        <w:fldChar w:fldCharType="separate"/>
      </w:r>
      <w:r>
        <w:rPr>
          <w:rFonts w:hint="eastAsia" w:ascii="仿宋_GB2312" w:hAnsi="仿宋_GB2312" w:eastAsia="仿宋_GB2312" w:cs="仿宋_GB2312"/>
          <w:bCs/>
          <w:kern w:val="0"/>
          <w:sz w:val="32"/>
          <w:szCs w:val="32"/>
        </w:rPr>
        <w:t>二、收入决算情况说明</w:t>
      </w:r>
      <w:r>
        <w:rPr>
          <w:rFonts w:hint="eastAsia" w:ascii="仿宋_GB2312" w:hAnsi="仿宋_GB2312" w:eastAsia="仿宋_GB2312" w:cs="仿宋_GB2312"/>
          <w:bCs/>
          <w:kern w:val="0"/>
          <w:sz w:val="32"/>
          <w:szCs w:val="32"/>
        </w:rPr>
        <w:fldChar w:fldCharType="end"/>
      </w:r>
    </w:p>
    <w:p w14:paraId="6477D7D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"_Toc20629" </w:instrText>
      </w:r>
      <w:r>
        <w:fldChar w:fldCharType="separate"/>
      </w:r>
      <w:r>
        <w:rPr>
          <w:rFonts w:hint="eastAsia" w:ascii="仿宋_GB2312" w:hAnsi="仿宋_GB2312" w:eastAsia="仿宋_GB2312" w:cs="仿宋_GB2312"/>
          <w:bCs/>
          <w:kern w:val="0"/>
          <w:sz w:val="32"/>
          <w:szCs w:val="32"/>
        </w:rPr>
        <w:t>三、支出决算情况说明</w:t>
      </w:r>
      <w:r>
        <w:rPr>
          <w:rFonts w:hint="eastAsia" w:ascii="仿宋_GB2312" w:hAnsi="仿宋_GB2312" w:eastAsia="仿宋_GB2312" w:cs="仿宋_GB2312"/>
          <w:bCs/>
          <w:kern w:val="0"/>
          <w:sz w:val="32"/>
          <w:szCs w:val="32"/>
        </w:rPr>
        <w:fldChar w:fldCharType="end"/>
      </w:r>
    </w:p>
    <w:p w14:paraId="64A0CBA4">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"_Toc7371" </w:instrText>
      </w:r>
      <w:r>
        <w:fldChar w:fldCharType="separate"/>
      </w:r>
      <w:r>
        <w:rPr>
          <w:rFonts w:hint="eastAsia" w:ascii="仿宋_GB2312" w:hAnsi="仿宋_GB2312" w:eastAsia="仿宋_GB2312" w:cs="仿宋_GB2312"/>
          <w:bCs/>
          <w:kern w:val="0"/>
          <w:sz w:val="32"/>
          <w:szCs w:val="32"/>
        </w:rPr>
        <w:t>四、财政拨款收入支出决算总体情况说明</w:t>
      </w:r>
      <w:r>
        <w:rPr>
          <w:rFonts w:hint="eastAsia" w:ascii="仿宋_GB2312" w:hAnsi="仿宋_GB2312" w:eastAsia="仿宋_GB2312" w:cs="仿宋_GB2312"/>
          <w:bCs/>
          <w:kern w:val="0"/>
          <w:sz w:val="32"/>
          <w:szCs w:val="32"/>
        </w:rPr>
        <w:fldChar w:fldCharType="end"/>
      </w:r>
    </w:p>
    <w:p w14:paraId="07B13FA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"_Toc18905" </w:instrText>
      </w:r>
      <w:r>
        <w:fldChar w:fldCharType="separate"/>
      </w:r>
      <w:r>
        <w:rPr>
          <w:rFonts w:hint="eastAsia" w:ascii="仿宋_GB2312" w:hAnsi="仿宋_GB2312" w:eastAsia="仿宋_GB2312" w:cs="仿宋_GB2312"/>
          <w:bCs/>
          <w:kern w:val="0"/>
          <w:sz w:val="32"/>
          <w:szCs w:val="32"/>
        </w:rPr>
        <w:t>五、一般公共预算财政拨款支出决算情况说明</w:t>
      </w:r>
      <w:r>
        <w:rPr>
          <w:rFonts w:hint="eastAsia" w:ascii="仿宋_GB2312" w:hAnsi="仿宋_GB2312" w:eastAsia="仿宋_GB2312" w:cs="仿宋_GB2312"/>
          <w:bCs/>
          <w:kern w:val="0"/>
          <w:sz w:val="32"/>
          <w:szCs w:val="32"/>
        </w:rPr>
        <w:fldChar w:fldCharType="end"/>
      </w:r>
    </w:p>
    <w:p w14:paraId="35E4954F">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"_Toc1165" </w:instrText>
      </w:r>
      <w:r>
        <w:fldChar w:fldCharType="separate"/>
      </w:r>
      <w:r>
        <w:rPr>
          <w:rFonts w:hint="eastAsia" w:ascii="仿宋_GB2312" w:hAnsi="仿宋_GB2312" w:eastAsia="仿宋_GB2312" w:cs="仿宋_GB2312"/>
          <w:sz w:val="32"/>
          <w:szCs w:val="32"/>
        </w:rPr>
        <w:t>（一）一般公共预算财政拨款支出决算总体情况</w:t>
      </w:r>
      <w:r>
        <w:rPr>
          <w:rFonts w:hint="eastAsia" w:ascii="仿宋_GB2312" w:hAnsi="仿宋_GB2312" w:eastAsia="仿宋_GB2312" w:cs="仿宋_GB2312"/>
          <w:sz w:val="32"/>
          <w:szCs w:val="32"/>
        </w:rPr>
        <w:fldChar w:fldCharType="end"/>
      </w:r>
    </w:p>
    <w:p w14:paraId="1D40B9CA">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"_Toc27147" </w:instrText>
      </w:r>
      <w:r>
        <w:fldChar w:fldCharType="separate"/>
      </w:r>
      <w:r>
        <w:rPr>
          <w:rFonts w:hint="eastAsia" w:ascii="仿宋_GB2312" w:hAnsi="仿宋_GB2312" w:eastAsia="仿宋_GB2312" w:cs="仿宋_GB2312"/>
          <w:sz w:val="32"/>
          <w:szCs w:val="32"/>
        </w:rPr>
        <w:t>（二）一般公共预算财政拨款支出决算结构情况</w:t>
      </w:r>
      <w:r>
        <w:rPr>
          <w:rFonts w:hint="eastAsia" w:ascii="仿宋_GB2312" w:hAnsi="仿宋_GB2312" w:eastAsia="仿宋_GB2312" w:cs="仿宋_GB2312"/>
          <w:sz w:val="32"/>
          <w:szCs w:val="32"/>
        </w:rPr>
        <w:fldChar w:fldCharType="end"/>
      </w:r>
    </w:p>
    <w:p w14:paraId="572435CD">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"_Toc10037" </w:instrText>
      </w:r>
      <w:r>
        <w:fldChar w:fldCharType="separate"/>
      </w:r>
      <w:r>
        <w:rPr>
          <w:rFonts w:hint="eastAsia" w:ascii="仿宋_GB2312" w:hAnsi="仿宋_GB2312" w:eastAsia="仿宋_GB2312" w:cs="仿宋_GB2312"/>
          <w:sz w:val="32"/>
          <w:szCs w:val="32"/>
        </w:rPr>
        <w:t>（三）一般公共预算财政拨款支出决算具体情况</w:t>
      </w:r>
      <w:r>
        <w:rPr>
          <w:rFonts w:hint="eastAsia" w:ascii="仿宋_GB2312" w:hAnsi="仿宋_GB2312" w:eastAsia="仿宋_GB2312" w:cs="仿宋_GB2312"/>
          <w:sz w:val="32"/>
          <w:szCs w:val="32"/>
        </w:rPr>
        <w:fldChar w:fldCharType="end"/>
      </w:r>
    </w:p>
    <w:p w14:paraId="2330D4E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"_Toc23415" </w:instrText>
      </w:r>
      <w:r>
        <w:fldChar w:fldCharType="separate"/>
      </w:r>
      <w:r>
        <w:rPr>
          <w:rFonts w:hint="eastAsia" w:ascii="仿宋_GB2312" w:hAnsi="仿宋_GB2312" w:eastAsia="仿宋_GB2312" w:cs="仿宋_GB2312"/>
          <w:bCs/>
          <w:kern w:val="0"/>
          <w:sz w:val="32"/>
          <w:szCs w:val="32"/>
        </w:rPr>
        <w:t>六、一般公共预算财政拨款基本支出决算情况说明</w:t>
      </w:r>
      <w:r>
        <w:rPr>
          <w:rFonts w:hint="eastAsia" w:ascii="仿宋_GB2312" w:hAnsi="仿宋_GB2312" w:eastAsia="仿宋_GB2312" w:cs="仿宋_GB2312"/>
          <w:bCs/>
          <w:kern w:val="0"/>
          <w:sz w:val="32"/>
          <w:szCs w:val="32"/>
        </w:rPr>
        <w:fldChar w:fldCharType="end"/>
      </w:r>
    </w:p>
    <w:p w14:paraId="2363D305">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"_Toc7523" </w:instrText>
      </w:r>
      <w:r>
        <w:fldChar w:fldCharType="separate"/>
      </w:r>
      <w:r>
        <w:rPr>
          <w:rFonts w:hint="eastAsia" w:ascii="仿宋_GB2312" w:hAnsi="仿宋_GB2312" w:eastAsia="仿宋_GB2312" w:cs="仿宋_GB2312"/>
          <w:bCs/>
          <w:kern w:val="0"/>
          <w:sz w:val="32"/>
          <w:szCs w:val="32"/>
        </w:rPr>
        <w:t>七、政府性基金预算财政拨款收入支出决算情况说明</w:t>
      </w:r>
      <w:r>
        <w:rPr>
          <w:rFonts w:hint="eastAsia" w:ascii="仿宋_GB2312" w:hAnsi="仿宋_GB2312" w:eastAsia="仿宋_GB2312" w:cs="仿宋_GB2312"/>
          <w:bCs/>
          <w:kern w:val="0"/>
          <w:sz w:val="32"/>
          <w:szCs w:val="32"/>
        </w:rPr>
        <w:fldChar w:fldCharType="end"/>
      </w:r>
    </w:p>
    <w:p w14:paraId="47A33664">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"_Toc5563" </w:instrText>
      </w:r>
      <w:r>
        <w:fldChar w:fldCharType="separate"/>
      </w:r>
      <w:r>
        <w:rPr>
          <w:rFonts w:hint="eastAsia" w:ascii="仿宋_GB2312" w:hAnsi="仿宋_GB2312" w:eastAsia="仿宋_GB2312" w:cs="仿宋_GB2312"/>
          <w:bCs/>
          <w:kern w:val="0"/>
          <w:sz w:val="32"/>
          <w:szCs w:val="32"/>
        </w:rPr>
        <w:t>八、国有资本经营预算财政拨款收入支出决算情况说明</w:t>
      </w:r>
      <w:r>
        <w:rPr>
          <w:rFonts w:hint="eastAsia" w:ascii="仿宋_GB2312" w:hAnsi="仿宋_GB2312" w:eastAsia="仿宋_GB2312" w:cs="仿宋_GB2312"/>
          <w:bCs/>
          <w:kern w:val="0"/>
          <w:sz w:val="32"/>
          <w:szCs w:val="32"/>
        </w:rPr>
        <w:fldChar w:fldCharType="end"/>
      </w:r>
    </w:p>
    <w:p w14:paraId="5B6A706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"_Toc9161" </w:instrText>
      </w:r>
      <w:r>
        <w:fldChar w:fldCharType="separate"/>
      </w:r>
      <w:r>
        <w:rPr>
          <w:rFonts w:hint="eastAsia" w:ascii="仿宋_GB2312" w:hAnsi="仿宋_GB2312" w:eastAsia="仿宋_GB2312" w:cs="仿宋_GB2312"/>
          <w:bCs/>
          <w:kern w:val="0"/>
          <w:sz w:val="32"/>
          <w:szCs w:val="32"/>
        </w:rPr>
        <w:t>九、财政拨款“三公”经费支出决算情况说明</w:t>
      </w:r>
      <w:r>
        <w:rPr>
          <w:rFonts w:hint="eastAsia" w:ascii="仿宋_GB2312" w:hAnsi="仿宋_GB2312" w:eastAsia="仿宋_GB2312" w:cs="仿宋_GB2312"/>
          <w:bCs/>
          <w:kern w:val="0"/>
          <w:sz w:val="32"/>
          <w:szCs w:val="32"/>
        </w:rPr>
        <w:fldChar w:fldCharType="end"/>
      </w:r>
    </w:p>
    <w:p w14:paraId="1D67ADC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"_Toc16395" </w:instrText>
      </w:r>
      <w:r>
        <w:fldChar w:fldCharType="separate"/>
      </w:r>
      <w:r>
        <w:rPr>
          <w:rFonts w:hint="eastAsia" w:ascii="仿宋_GB2312" w:hAnsi="仿宋_GB2312" w:eastAsia="仿宋_GB2312" w:cs="仿宋_GB2312"/>
          <w:bCs/>
          <w:kern w:val="0"/>
          <w:sz w:val="32"/>
          <w:szCs w:val="32"/>
        </w:rPr>
        <w:t>十、其他重要事项的情况说明</w:t>
      </w:r>
      <w:r>
        <w:rPr>
          <w:rFonts w:hint="eastAsia" w:ascii="仿宋_GB2312" w:hAnsi="仿宋_GB2312" w:eastAsia="仿宋_GB2312" w:cs="仿宋_GB2312"/>
          <w:bCs/>
          <w:kern w:val="0"/>
          <w:sz w:val="32"/>
          <w:szCs w:val="32"/>
        </w:rPr>
        <w:fldChar w:fldCharType="end"/>
      </w:r>
    </w:p>
    <w:p w14:paraId="2D81D31B">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"_Toc21748" </w:instrText>
      </w:r>
      <w:r>
        <w:fldChar w:fldCharType="separate"/>
      </w:r>
      <w:r>
        <w:rPr>
          <w:rFonts w:hint="eastAsia" w:ascii="仿宋_GB2312" w:hAnsi="仿宋_GB2312" w:eastAsia="仿宋_GB2312" w:cs="仿宋_GB2312"/>
          <w:sz w:val="32"/>
          <w:szCs w:val="32"/>
        </w:rPr>
        <w:t>（一）机关运行经费及公用经费支出情况</w:t>
      </w:r>
      <w:r>
        <w:rPr>
          <w:rFonts w:hint="eastAsia" w:ascii="仿宋_GB2312" w:hAnsi="仿宋_GB2312" w:eastAsia="仿宋_GB2312" w:cs="仿宋_GB2312"/>
          <w:sz w:val="32"/>
          <w:szCs w:val="32"/>
        </w:rPr>
        <w:fldChar w:fldCharType="end"/>
      </w:r>
    </w:p>
    <w:p w14:paraId="688C6E4D">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"_Toc25177" </w:instrText>
      </w:r>
      <w:r>
        <w:fldChar w:fldCharType="separate"/>
      </w:r>
      <w:r>
        <w:rPr>
          <w:rFonts w:hint="eastAsia" w:ascii="仿宋_GB2312" w:hAnsi="仿宋_GB2312" w:eastAsia="仿宋_GB2312" w:cs="仿宋_GB2312"/>
          <w:sz w:val="32"/>
          <w:szCs w:val="32"/>
        </w:rPr>
        <w:t>（二）政府采购情况</w:t>
      </w:r>
      <w:r>
        <w:rPr>
          <w:rFonts w:hint="eastAsia" w:ascii="仿宋_GB2312" w:hAnsi="仿宋_GB2312" w:eastAsia="仿宋_GB2312" w:cs="仿宋_GB2312"/>
          <w:sz w:val="32"/>
          <w:szCs w:val="32"/>
        </w:rPr>
        <w:fldChar w:fldCharType="end"/>
      </w:r>
    </w:p>
    <w:p w14:paraId="6E70625A">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"_Toc31294" </w:instrText>
      </w:r>
      <w:r>
        <w:fldChar w:fldCharType="separate"/>
      </w:r>
      <w:r>
        <w:rPr>
          <w:rFonts w:hint="eastAsia" w:ascii="仿宋_GB2312" w:hAnsi="仿宋_GB2312" w:eastAsia="仿宋_GB2312" w:cs="仿宋_GB2312"/>
          <w:sz w:val="32"/>
          <w:szCs w:val="32"/>
        </w:rPr>
        <w:t>（三）国有资产占用情况说明</w:t>
      </w:r>
      <w:r>
        <w:rPr>
          <w:rFonts w:hint="eastAsia" w:ascii="仿宋_GB2312" w:hAnsi="仿宋_GB2312" w:eastAsia="仿宋_GB2312" w:cs="仿宋_GB2312"/>
          <w:sz w:val="32"/>
          <w:szCs w:val="32"/>
        </w:rPr>
        <w:fldChar w:fldCharType="end"/>
      </w:r>
    </w:p>
    <w:p w14:paraId="687A037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"_Toc17664" </w:instrText>
      </w:r>
      <w:r>
        <w:fldChar w:fldCharType="separate"/>
      </w:r>
      <w:r>
        <w:rPr>
          <w:rFonts w:hint="eastAsia" w:ascii="仿宋_GB2312" w:hAnsi="仿宋_GB2312" w:eastAsia="仿宋_GB2312" w:cs="仿宋_GB2312"/>
          <w:bCs/>
          <w:kern w:val="0"/>
          <w:sz w:val="32"/>
          <w:szCs w:val="32"/>
        </w:rPr>
        <w:t>十一、预算绩效的情况说明</w:t>
      </w:r>
      <w:r>
        <w:rPr>
          <w:rFonts w:hint="eastAsia" w:ascii="仿宋_GB2312" w:hAnsi="仿宋_GB2312" w:eastAsia="仿宋_GB2312" w:cs="仿宋_GB2312"/>
          <w:bCs/>
          <w:kern w:val="0"/>
          <w:sz w:val="32"/>
          <w:szCs w:val="32"/>
        </w:rPr>
        <w:fldChar w:fldCharType="end"/>
      </w:r>
    </w:p>
    <w:p w14:paraId="2BE4C8B9">
      <w:pPr>
        <w:spacing w:line="600" w:lineRule="exact"/>
        <w:rPr>
          <w:rFonts w:eastAsia="仿宋_GB2312"/>
        </w:rPr>
      </w:pPr>
      <w:r>
        <w:rPr>
          <w:rFonts w:hint="eastAsia" w:ascii="仿宋_GB2312" w:hAnsi="仿宋_GB2312" w:eastAsia="仿宋_GB2312" w:cs="仿宋_GB2312"/>
          <w:sz w:val="32"/>
          <w:szCs w:val="32"/>
        </w:rPr>
        <w:t>十二、</w:t>
      </w:r>
      <w:r>
        <w:rPr>
          <w:rFonts w:ascii="仿宋_GB2312" w:hAnsi="仿宋_GB2312" w:eastAsia="仿宋_GB2312" w:cs="仿宋_GB2312"/>
          <w:sz w:val="32"/>
          <w:szCs w:val="32"/>
        </w:rPr>
        <w:t>其他需说明的事项</w:t>
      </w:r>
    </w:p>
    <w:p w14:paraId="02F533C8">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"_Toc30038" </w:instrText>
      </w:r>
      <w:r>
        <w:fldChar w:fldCharType="separate"/>
      </w:r>
      <w:r>
        <w:rPr>
          <w:rFonts w:hint="eastAsia" w:ascii="仿宋_GB2312" w:hAnsi="仿宋_GB2312" w:eastAsia="仿宋_GB2312" w:cs="仿宋_GB2312"/>
          <w:b/>
          <w:bCs/>
          <w:sz w:val="32"/>
          <w:szCs w:val="32"/>
        </w:rPr>
        <w:t>第三部分 专业名词解释</w:t>
      </w:r>
      <w:r>
        <w:rPr>
          <w:rFonts w:hint="eastAsia" w:ascii="仿宋_GB2312" w:hAnsi="仿宋_GB2312" w:eastAsia="仿宋_GB2312" w:cs="仿宋_GB2312"/>
          <w:b/>
          <w:bCs/>
          <w:sz w:val="32"/>
          <w:szCs w:val="32"/>
        </w:rPr>
        <w:fldChar w:fldCharType="end"/>
      </w:r>
    </w:p>
    <w:p w14:paraId="13D03994">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"_Toc6831" </w:instrText>
      </w:r>
      <w:r>
        <w:fldChar w:fldCharType="separate"/>
      </w:r>
      <w:r>
        <w:rPr>
          <w:rFonts w:hint="eastAsia" w:ascii="仿宋_GB2312" w:hAnsi="仿宋_GB2312" w:eastAsia="仿宋_GB2312" w:cs="仿宋_GB2312"/>
          <w:b/>
          <w:bCs/>
          <w:sz w:val="32"/>
          <w:szCs w:val="32"/>
        </w:rPr>
        <w:t>第四部分 部门决算报表（见附表）</w:t>
      </w:r>
      <w:r>
        <w:rPr>
          <w:rFonts w:hint="eastAsia" w:ascii="仿宋_GB2312" w:hAnsi="仿宋_GB2312" w:eastAsia="仿宋_GB2312" w:cs="仿宋_GB2312"/>
          <w:b/>
          <w:bCs/>
          <w:sz w:val="32"/>
          <w:szCs w:val="32"/>
        </w:rPr>
        <w:fldChar w:fldCharType="end"/>
      </w:r>
    </w:p>
    <w:p w14:paraId="363DA5E8">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"_Toc3845" </w:instrText>
      </w:r>
      <w:r>
        <w:fldChar w:fldCharType="separate"/>
      </w:r>
      <w:r>
        <w:rPr>
          <w:rFonts w:hint="eastAsia" w:ascii="仿宋_GB2312" w:hAnsi="仿宋_GB2312" w:eastAsia="仿宋_GB2312" w:cs="仿宋_GB2312"/>
          <w:bCs/>
          <w:kern w:val="0"/>
          <w:sz w:val="32"/>
          <w:szCs w:val="32"/>
        </w:rPr>
        <w:t>一、《收入支出决算总表》</w:t>
      </w:r>
      <w:r>
        <w:rPr>
          <w:rFonts w:hint="eastAsia" w:ascii="仿宋_GB2312" w:hAnsi="仿宋_GB2312" w:eastAsia="仿宋_GB2312" w:cs="仿宋_GB2312"/>
          <w:bCs/>
          <w:kern w:val="0"/>
          <w:sz w:val="32"/>
          <w:szCs w:val="32"/>
        </w:rPr>
        <w:fldChar w:fldCharType="end"/>
      </w:r>
    </w:p>
    <w:p w14:paraId="7612762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"_Toc11927" </w:instrText>
      </w:r>
      <w:r>
        <w:fldChar w:fldCharType="separate"/>
      </w:r>
      <w:r>
        <w:rPr>
          <w:rFonts w:hint="eastAsia" w:ascii="仿宋_GB2312" w:hAnsi="仿宋_GB2312" w:eastAsia="仿宋_GB2312" w:cs="仿宋_GB2312"/>
          <w:bCs/>
          <w:kern w:val="0"/>
          <w:sz w:val="32"/>
          <w:szCs w:val="32"/>
        </w:rPr>
        <w:t>二、《收入决算表》</w:t>
      </w:r>
      <w:r>
        <w:rPr>
          <w:rFonts w:hint="eastAsia" w:ascii="仿宋_GB2312" w:hAnsi="仿宋_GB2312" w:eastAsia="仿宋_GB2312" w:cs="仿宋_GB2312"/>
          <w:bCs/>
          <w:kern w:val="0"/>
          <w:sz w:val="32"/>
          <w:szCs w:val="32"/>
        </w:rPr>
        <w:fldChar w:fldCharType="end"/>
      </w:r>
    </w:p>
    <w:p w14:paraId="3D4C3500">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"_Toc7443" </w:instrText>
      </w:r>
      <w:r>
        <w:fldChar w:fldCharType="separate"/>
      </w:r>
      <w:r>
        <w:rPr>
          <w:rFonts w:hint="eastAsia" w:ascii="仿宋_GB2312" w:hAnsi="仿宋_GB2312" w:eastAsia="仿宋_GB2312" w:cs="仿宋_GB2312"/>
          <w:bCs/>
          <w:kern w:val="0"/>
          <w:sz w:val="32"/>
          <w:szCs w:val="32"/>
        </w:rPr>
        <w:t>三、《支出决算表》</w:t>
      </w:r>
      <w:r>
        <w:rPr>
          <w:rFonts w:hint="eastAsia" w:ascii="仿宋_GB2312" w:hAnsi="仿宋_GB2312" w:eastAsia="仿宋_GB2312" w:cs="仿宋_GB2312"/>
          <w:bCs/>
          <w:kern w:val="0"/>
          <w:sz w:val="32"/>
          <w:szCs w:val="32"/>
        </w:rPr>
        <w:fldChar w:fldCharType="end"/>
      </w:r>
    </w:p>
    <w:p w14:paraId="2F9A11B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"_Toc24884" </w:instrText>
      </w:r>
      <w:r>
        <w:fldChar w:fldCharType="separate"/>
      </w:r>
      <w:r>
        <w:rPr>
          <w:rFonts w:hint="eastAsia" w:ascii="仿宋_GB2312" w:hAnsi="仿宋_GB2312" w:eastAsia="仿宋_GB2312" w:cs="仿宋_GB2312"/>
          <w:bCs/>
          <w:kern w:val="0"/>
          <w:sz w:val="32"/>
          <w:szCs w:val="32"/>
        </w:rPr>
        <w:t>四、《财政拨款收入支出决算总表》</w:t>
      </w:r>
      <w:r>
        <w:rPr>
          <w:rFonts w:hint="eastAsia" w:ascii="仿宋_GB2312" w:hAnsi="仿宋_GB2312" w:eastAsia="仿宋_GB2312" w:cs="仿宋_GB2312"/>
          <w:bCs/>
          <w:kern w:val="0"/>
          <w:sz w:val="32"/>
          <w:szCs w:val="32"/>
        </w:rPr>
        <w:fldChar w:fldCharType="end"/>
      </w:r>
    </w:p>
    <w:p w14:paraId="44A5CB8E">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"_Toc16518" </w:instrText>
      </w:r>
      <w:r>
        <w:fldChar w:fldCharType="separate"/>
      </w:r>
      <w:r>
        <w:rPr>
          <w:rFonts w:hint="eastAsia" w:ascii="仿宋_GB2312" w:hAnsi="仿宋_GB2312" w:eastAsia="仿宋_GB2312" w:cs="仿宋_GB2312"/>
          <w:bCs/>
          <w:kern w:val="0"/>
          <w:sz w:val="32"/>
          <w:szCs w:val="32"/>
        </w:rPr>
        <w:t>五、《一般公共预算财政拨款支出决算表》</w:t>
      </w:r>
      <w:r>
        <w:rPr>
          <w:rFonts w:hint="eastAsia" w:ascii="仿宋_GB2312" w:hAnsi="仿宋_GB2312" w:eastAsia="仿宋_GB2312" w:cs="仿宋_GB2312"/>
          <w:bCs/>
          <w:kern w:val="0"/>
          <w:sz w:val="32"/>
          <w:szCs w:val="32"/>
        </w:rPr>
        <w:fldChar w:fldCharType="end"/>
      </w:r>
    </w:p>
    <w:p w14:paraId="277EE406">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"_Toc20514" </w:instrText>
      </w:r>
      <w:r>
        <w:fldChar w:fldCharType="separate"/>
      </w:r>
      <w:r>
        <w:rPr>
          <w:rFonts w:hint="eastAsia" w:ascii="仿宋_GB2312" w:hAnsi="仿宋_GB2312" w:eastAsia="仿宋_GB2312" w:cs="仿宋_GB2312"/>
          <w:bCs/>
          <w:kern w:val="0"/>
          <w:sz w:val="32"/>
          <w:szCs w:val="32"/>
        </w:rPr>
        <w:t>六、《一般公共预算财政拨款基本支出决算表》</w:t>
      </w:r>
      <w:r>
        <w:rPr>
          <w:rFonts w:hint="eastAsia" w:ascii="仿宋_GB2312" w:hAnsi="仿宋_GB2312" w:eastAsia="仿宋_GB2312" w:cs="仿宋_GB2312"/>
          <w:bCs/>
          <w:kern w:val="0"/>
          <w:sz w:val="32"/>
          <w:szCs w:val="32"/>
        </w:rPr>
        <w:fldChar w:fldCharType="end"/>
      </w:r>
    </w:p>
    <w:p w14:paraId="49FE8110">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"_Toc18055" </w:instrText>
      </w:r>
      <w:r>
        <w:fldChar w:fldCharType="separate"/>
      </w:r>
      <w:r>
        <w:rPr>
          <w:rFonts w:hint="eastAsia" w:ascii="仿宋_GB2312" w:hAnsi="仿宋_GB2312" w:eastAsia="仿宋_GB2312" w:cs="仿宋_GB2312"/>
          <w:bCs/>
          <w:kern w:val="0"/>
          <w:sz w:val="32"/>
          <w:szCs w:val="32"/>
        </w:rPr>
        <w:t>七、《政府性基金预算财政拨款收入支出决算表》</w:t>
      </w:r>
      <w:r>
        <w:rPr>
          <w:rFonts w:hint="eastAsia" w:ascii="仿宋_GB2312" w:hAnsi="仿宋_GB2312" w:eastAsia="仿宋_GB2312" w:cs="仿宋_GB2312"/>
          <w:bCs/>
          <w:kern w:val="0"/>
          <w:sz w:val="32"/>
          <w:szCs w:val="32"/>
        </w:rPr>
        <w:fldChar w:fldCharType="end"/>
      </w:r>
    </w:p>
    <w:p w14:paraId="43AA1635">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"_Toc10719" </w:instrText>
      </w:r>
      <w:r>
        <w:fldChar w:fldCharType="separate"/>
      </w:r>
      <w:r>
        <w:rPr>
          <w:rFonts w:hint="eastAsia" w:ascii="仿宋_GB2312" w:hAnsi="仿宋_GB2312" w:eastAsia="仿宋_GB2312" w:cs="仿宋_GB2312"/>
          <w:bCs/>
          <w:kern w:val="0"/>
          <w:sz w:val="32"/>
          <w:szCs w:val="32"/>
        </w:rPr>
        <w:t>八、《国有资本经营预算财政拨款收入支出决算表》</w:t>
      </w:r>
      <w:r>
        <w:rPr>
          <w:rFonts w:hint="eastAsia" w:ascii="仿宋_GB2312" w:hAnsi="仿宋_GB2312" w:eastAsia="仿宋_GB2312" w:cs="仿宋_GB2312"/>
          <w:bCs/>
          <w:kern w:val="0"/>
          <w:sz w:val="32"/>
          <w:szCs w:val="32"/>
        </w:rPr>
        <w:fldChar w:fldCharType="end"/>
      </w:r>
    </w:p>
    <w:p w14:paraId="5D4DF260">
      <w:pPr>
        <w:pStyle w:val="7"/>
        <w:tabs>
          <w:tab w:val="right" w:leader="dot" w:pos="8306"/>
        </w:tabs>
        <w:spacing w:line="600" w:lineRule="exact"/>
        <w:ind w:left="0" w:leftChars="0"/>
        <w:rPr>
          <w:rFonts w:hint="eastAsia" w:ascii="黑体" w:hAnsi="黑体" w:eastAsia="黑体" w:cs="宋体"/>
          <w:bCs/>
          <w:kern w:val="0"/>
          <w:sz w:val="32"/>
          <w:szCs w:val="32"/>
        </w:rPr>
      </w:pPr>
      <w:r>
        <w:fldChar w:fldCharType="begin"/>
      </w:r>
      <w:r>
        <w:instrText xml:space="preserve"> HYPERLINK \l "_Toc18861" </w:instrText>
      </w:r>
      <w:r>
        <w:fldChar w:fldCharType="separate"/>
      </w:r>
      <w:r>
        <w:rPr>
          <w:rFonts w:hint="eastAsia" w:ascii="仿宋_GB2312" w:hAnsi="仿宋_GB2312" w:eastAsia="仿宋_GB2312" w:cs="仿宋_GB2312"/>
          <w:bCs/>
          <w:kern w:val="0"/>
          <w:sz w:val="32"/>
          <w:szCs w:val="32"/>
        </w:rPr>
        <w:t>九、《财政拨款“三公”经费支出决算表》</w:t>
      </w:r>
      <w:r>
        <w:rPr>
          <w:rFonts w:hint="eastAsia" w:ascii="仿宋_GB2312" w:hAnsi="仿宋_GB2312" w:eastAsia="仿宋_GB2312" w:cs="仿宋_GB2312"/>
          <w:bCs/>
          <w:kern w:val="0"/>
          <w:sz w:val="32"/>
          <w:szCs w:val="32"/>
        </w:rPr>
        <w:fldChar w:fldCharType="end"/>
      </w:r>
      <w:r>
        <w:rPr>
          <w:rFonts w:hint="eastAsia" w:ascii="仿宋_GB2312" w:hAnsi="仿宋_GB2312" w:eastAsia="仿宋_GB2312" w:cs="仿宋_GB2312"/>
          <w:sz w:val="32"/>
          <w:szCs w:val="32"/>
        </w:rPr>
        <w:fldChar w:fldCharType="end"/>
      </w:r>
    </w:p>
    <w:p>
      <w:r>
        <w:br w:type="page"/>
      </w:r>
    </w:p>
    <w:p>
      <w:pPr>
        <w:spacing w:line="640" w:lineRule="exact"/>
        <w:jc w:val="center"/>
        <w:outlineLvl w:val="1"/>
      </w:pPr>
      <w:r>
        <w:rPr>
          <w:rFonts w:ascii="黑体" w:hAnsi="黑体" w:eastAsia="黑体"/>
          <w:sz w:val="32"/>
        </w:rPr>
        <w:t>第一部分 单位概况</w:t>
      </w:r>
    </w:p>
    <w:p>
      <w:pPr>
        <w:spacing w:line="640" w:lineRule="exact"/>
        <w:ind w:firstLine="640"/>
        <w:jc w:val="both"/>
        <w:outlineLvl w:val="2"/>
      </w:pPr>
      <w:r>
        <w:rPr>
          <w:rFonts w:ascii="黑体" w:hAnsi="黑体" w:eastAsia="黑体"/>
          <w:sz w:val="32"/>
        </w:rPr>
        <w:t>一、主要职能</w:t>
      </w:r>
    </w:p>
    <w:p>
      <w:pPr>
        <w:spacing w:line="580" w:lineRule="exact"/>
        <w:ind w:firstLine="640"/>
        <w:jc w:val="both"/>
      </w:pPr>
      <w:r>
        <w:rPr>
          <w:rFonts w:ascii="仿宋_GB2312" w:hAnsi="仿宋_GB2312" w:eastAsia="仿宋_GB2312"/>
          <w:sz w:val="32"/>
        </w:rPr>
        <w:t>昌吉州退役军人事务局主要负责退役军人思想政治、管理保障和安置优抚等工作，褒扬彰显退役军人为党、国家和人民牺牲奉献精神风范和价值导向，发挥退役军人在自治州社会稳定和长治久安总目标中的作用。负责军队转业干部、复员干部、离休退休干部、退役士兵和无军籍退休退职工的移交安置工作和自主择业、就业及退役军人服务管理工作；组织指导退役军人教育培训工作；协调扶持退役军人和随军随调家属就业创业；会同有关部门拟订退役军人特殊保障政策并组织落实；组织落实移交地方的离休退休军人、符合条件的其他退役军人和无军籍退休退职工的住房保障工作，以及退役军人医疗保障、社会保险等待遇保障工作；组织指导伤病残退役军人服务管理和抚恤工作，落实有关退役军人医疗、疗养、养老等机构的规划政策并指导实施；承担不适宜继续服役的伤病残军人相关工作；组织指导拥军优属工作。负责现役军人、退役军人、军队文职人员和军属优待、抚恤等工作，落实国民党抗战老兵等有关人员优待政策并指导实施；负责烈士及退役军人荣誉奖励、军人公墓管理维护、纪念活动等工作；依法承担英雄烈士保护相关工作；审核拟列入全国、自治区和自治州重点保护单位的烈士纪念建筑物名录；总结表彰和宣扬退役军人、退役军人工作单位和个人先进典型事迹；指导并监督检查退役军人相关法律法规和政策措施的落实；组织指导退役军人权益维护和有关人员的帮扶援助工作；完成自治州党委、自治州人民政府交办的其他任务。</w:t>
      </w:r>
    </w:p>
    <w:p>
      <w:pPr>
        <w:spacing w:line="640" w:lineRule="exact"/>
        <w:ind w:firstLine="640"/>
        <w:jc w:val="both"/>
        <w:outlineLvl w:val="2"/>
      </w:pPr>
      <w:r>
        <w:rPr>
          <w:rFonts w:ascii="黑体" w:hAnsi="黑体" w:eastAsia="黑体"/>
          <w:sz w:val="32"/>
        </w:rPr>
        <w:t>二、机构设置</w:t>
      </w:r>
    </w:p>
    <w:p>
      <w:pPr>
        <w:spacing w:line="580" w:lineRule="exact"/>
        <w:ind w:firstLine="640"/>
        <w:jc w:val="both"/>
      </w:pPr>
      <w:r>
        <w:rPr>
          <w:rFonts w:ascii="仿宋_GB2312" w:hAnsi="仿宋_GB2312" w:eastAsia="仿宋_GB2312"/>
          <w:sz w:val="32"/>
        </w:rPr>
        <w:t>昌吉回族自治州退役军人事务局无下属预算单位。</w:t>
      </w:r>
    </w:p>
    <w:p>
      <w:r>
        <w:br w:type="page"/>
      </w:r>
    </w:p>
    <w:p>
      <w:pPr>
        <w:spacing w:line="240" w:lineRule="auto"/>
        <w:jc w:val="center"/>
        <w:outlineLvl w:val="1"/>
      </w:pPr>
      <w:r>
        <w:rPr>
          <w:rFonts w:ascii="黑体" w:hAnsi="黑体" w:eastAsia="黑体"/>
          <w:sz w:val="32"/>
        </w:rPr>
        <w:t>第二部分 部门决算情况说明</w:t>
      </w:r>
    </w:p>
    <w:p>
      <w:pPr>
        <w:spacing w:line="640" w:lineRule="exact"/>
        <w:ind w:firstLine="640"/>
        <w:jc w:val="both"/>
        <w:outlineLvl w:val="2"/>
      </w:pPr>
      <w:r>
        <w:rPr>
          <w:rFonts w:ascii="黑体" w:hAnsi="黑体" w:eastAsia="黑体"/>
          <w:sz w:val="32"/>
        </w:rPr>
        <w:t>一、收入支出决算总体情况说明</w:t>
      </w:r>
    </w:p>
    <w:p>
      <w:pPr>
        <w:spacing w:line="580" w:lineRule="exact"/>
        <w:ind w:firstLine="640"/>
        <w:jc w:val="both"/>
      </w:pPr>
      <w:r>
        <w:rPr>
          <w:rFonts w:ascii="仿宋_GB2312" w:hAnsi="仿宋_GB2312" w:eastAsia="仿宋_GB2312"/>
          <w:b/>
          <w:sz w:val="32"/>
        </w:rPr>
        <w:t>2025年度收入总计847.17万元，</w:t>
      </w:r>
      <w:r>
        <w:rPr>
          <w:rFonts w:ascii="仿宋_GB2312" w:hAnsi="仿宋_GB2312" w:eastAsia="仿宋_GB2312"/>
          <w:b w:val="0"/>
          <w:sz w:val="32"/>
        </w:rPr>
        <w:t>其中：本年收入合计843.27万元，使用非财政拨款结余（含专用结余）0.00万元，年初结转和结余3.90万元。</w:t>
      </w:r>
    </w:p>
    <w:p>
      <w:pPr>
        <w:spacing w:line="580" w:lineRule="exact"/>
        <w:ind w:firstLine="640"/>
        <w:jc w:val="both"/>
      </w:pPr>
      <w:r>
        <w:rPr>
          <w:rFonts w:ascii="仿宋_GB2312" w:hAnsi="仿宋_GB2312" w:eastAsia="仿宋_GB2312"/>
          <w:b/>
          <w:sz w:val="32"/>
        </w:rPr>
        <w:t>2025年度支出总计847.17万元，</w:t>
      </w:r>
      <w:r>
        <w:rPr>
          <w:rFonts w:ascii="仿宋_GB2312" w:hAnsi="仿宋_GB2312" w:eastAsia="仿宋_GB2312"/>
          <w:b w:val="0"/>
          <w:sz w:val="32"/>
        </w:rPr>
        <w:t>其中：本年支出合计816.48万元，结余分配0.00万元，年末结转和结余30.69万元。</w:t>
      </w:r>
    </w:p>
    <w:p>
      <w:pPr>
        <w:spacing w:line="580" w:lineRule="exact"/>
        <w:ind w:firstLine="640"/>
        <w:jc w:val="both"/>
      </w:pPr>
      <w:r>
        <w:rPr>
          <w:rFonts w:ascii="仿宋_GB2312" w:hAnsi="仿宋_GB2312" w:eastAsia="仿宋_GB2312"/>
          <w:b/>
          <w:sz w:val="32"/>
        </w:rPr>
        <w:t>收入支出总体与上年相比，</w:t>
      </w:r>
      <w:r>
        <w:rPr>
          <w:rFonts w:ascii="仿宋_GB2312" w:hAnsi="仿宋_GB2312" w:eastAsia="仿宋_GB2312"/>
          <w:b w:val="0"/>
          <w:sz w:val="32"/>
        </w:rPr>
        <w:t>增加66.39万元，增长8.50%，主要原因是：本年在职人员工资调增，社保、公积金基数调增，人员经费增加；援疆（单位自有资金）项目资金较上年增加。</w:t>
      </w:r>
    </w:p>
    <w:p>
      <w:pPr>
        <w:spacing w:line="640" w:lineRule="exact"/>
        <w:ind w:firstLine="640"/>
        <w:jc w:val="both"/>
        <w:outlineLvl w:val="2"/>
      </w:pPr>
      <w:r>
        <w:rPr>
          <w:rFonts w:ascii="黑体" w:hAnsi="黑体" w:eastAsia="黑体"/>
          <w:sz w:val="32"/>
        </w:rPr>
        <w:t>二、收入决算情况说明</w:t>
      </w:r>
    </w:p>
    <w:p>
      <w:pPr>
        <w:spacing w:line="580" w:lineRule="exact"/>
        <w:ind w:firstLine="640"/>
        <w:jc w:val="both"/>
      </w:pPr>
      <w:r>
        <w:rPr>
          <w:rFonts w:ascii="仿宋_GB2312" w:hAnsi="仿宋_GB2312" w:eastAsia="仿宋_GB2312"/>
          <w:b/>
          <w:sz w:val="32"/>
        </w:rPr>
        <w:t>本年收入843.27万元，</w:t>
      </w:r>
      <w:r>
        <w:rPr>
          <w:rFonts w:ascii="仿宋_GB2312" w:hAnsi="仿宋_GB2312" w:eastAsia="仿宋_GB2312"/>
          <w:b w:val="0"/>
          <w:sz w:val="32"/>
        </w:rPr>
        <w:t>其中：财政拨款收入758.88万元，占89.99%；上级补助收入0.00万元，占0.00%；事业收入0.00万元，占0.00%；经营收入0.00万元，占0.00%；附属单位上缴收入0.00万元，占0.00%；其他收入84.40万元，占10.01%。</w:t>
      </w:r>
    </w:p>
    <w:p>
      <w:pPr>
        <w:spacing w:line="640" w:lineRule="exact"/>
        <w:ind w:firstLine="640"/>
        <w:jc w:val="both"/>
        <w:outlineLvl w:val="2"/>
      </w:pPr>
      <w:r>
        <w:rPr>
          <w:rFonts w:ascii="黑体" w:hAnsi="黑体" w:eastAsia="黑体"/>
          <w:sz w:val="32"/>
        </w:rPr>
        <w:t>三、支出决算情况说明</w:t>
      </w:r>
    </w:p>
    <w:p>
      <w:pPr>
        <w:spacing w:line="580" w:lineRule="exact"/>
        <w:ind w:firstLine="640"/>
        <w:jc w:val="both"/>
      </w:pPr>
      <w:r>
        <w:rPr>
          <w:rFonts w:ascii="仿宋_GB2312" w:hAnsi="仿宋_GB2312" w:eastAsia="仿宋_GB2312"/>
          <w:b/>
          <w:sz w:val="32"/>
        </w:rPr>
        <w:t>本年支出816.48万元，</w:t>
      </w:r>
      <w:r>
        <w:rPr>
          <w:rFonts w:ascii="仿宋_GB2312" w:hAnsi="仿宋_GB2312" w:eastAsia="仿宋_GB2312"/>
          <w:b w:val="0"/>
          <w:sz w:val="32"/>
        </w:rPr>
        <w:t>其中：基本支出311.06万元，占38.10%；项目支出505.42万元，占61.90%；上缴上级支出0.00万元，占0.00%；经营支出0.00万元，占0.00%；对附属单位补助支出0.00万元，占0.00%。</w:t>
      </w:r>
    </w:p>
    <w:p>
      <w:pPr>
        <w:spacing w:line="640" w:lineRule="exact"/>
        <w:ind w:firstLine="640"/>
        <w:jc w:val="both"/>
        <w:outlineLvl w:val="2"/>
      </w:pPr>
      <w:r>
        <w:rPr>
          <w:rFonts w:ascii="黑体" w:hAnsi="黑体" w:eastAsia="黑体"/>
          <w:sz w:val="32"/>
        </w:rPr>
        <w:t>四、财政拨款收入支出决算总体情况说明</w:t>
      </w:r>
    </w:p>
    <w:p>
      <w:pPr>
        <w:spacing w:line="580" w:lineRule="exact"/>
        <w:ind w:firstLine="640"/>
        <w:jc w:val="both"/>
      </w:pPr>
      <w:r>
        <w:rPr>
          <w:rFonts w:ascii="仿宋_GB2312" w:hAnsi="仿宋_GB2312" w:eastAsia="仿宋_GB2312"/>
          <w:b/>
          <w:sz w:val="32"/>
        </w:rPr>
        <w:t>2025年度财政拨款收入总计758.88万元，</w:t>
      </w:r>
      <w:r>
        <w:rPr>
          <w:rFonts w:ascii="仿宋_GB2312" w:hAnsi="仿宋_GB2312" w:eastAsia="仿宋_GB2312"/>
          <w:b w:val="0"/>
          <w:sz w:val="32"/>
        </w:rPr>
        <w:t>其中：年初财政拨款结转和结余0.00万元，本年财政拨款收入758.88万元。</w:t>
      </w:r>
      <w:r>
        <w:rPr>
          <w:rFonts w:ascii="仿宋_GB2312" w:hAnsi="仿宋_GB2312" w:eastAsia="仿宋_GB2312"/>
          <w:b/>
          <w:sz w:val="32"/>
        </w:rPr>
        <w:t>财政拨款支出总计758.88万元，</w:t>
      </w:r>
      <w:r>
        <w:rPr>
          <w:rFonts w:ascii="仿宋_GB2312" w:hAnsi="仿宋_GB2312" w:eastAsia="仿宋_GB2312"/>
          <w:b w:val="0"/>
          <w:sz w:val="32"/>
        </w:rPr>
        <w:t>其中：年末财政拨款结转和结余0.00万元，本年财政拨款支出758.88万元。</w:t>
      </w:r>
    </w:p>
    <w:p>
      <w:pPr>
        <w:spacing w:line="580" w:lineRule="exact"/>
        <w:ind w:firstLine="640"/>
        <w:jc w:val="both"/>
      </w:pPr>
      <w:r>
        <w:rPr>
          <w:rFonts w:ascii="仿宋_GB2312" w:hAnsi="仿宋_GB2312" w:eastAsia="仿宋_GB2312"/>
          <w:b/>
          <w:sz w:val="32"/>
        </w:rPr>
        <w:t>财政拨款收入支出总体与上年相比，</w:t>
      </w:r>
      <w:r>
        <w:rPr>
          <w:rFonts w:ascii="仿宋_GB2312" w:hAnsi="仿宋_GB2312" w:eastAsia="仿宋_GB2312"/>
          <w:b w:val="0"/>
          <w:sz w:val="32"/>
        </w:rPr>
        <w:t>增加8.39万元，增长1.12%，主要原因是：本年在职人员工资调增，社保、公积金基数调增，人员经费增加。</w:t>
      </w:r>
      <w:r>
        <w:rPr>
          <w:rFonts w:ascii="仿宋_GB2312" w:hAnsi="仿宋_GB2312" w:eastAsia="仿宋_GB2312"/>
          <w:b/>
          <w:sz w:val="32"/>
        </w:rPr>
        <w:t>与年初预算相比，</w:t>
      </w:r>
      <w:r>
        <w:rPr>
          <w:rFonts w:ascii="仿宋_GB2312" w:hAnsi="仿宋_GB2312" w:eastAsia="仿宋_GB2312"/>
          <w:b w:val="0"/>
          <w:sz w:val="32"/>
        </w:rPr>
        <w:t>年初预算数500.80万元，决算数758.88万元，预决算差异率51.53%，主要原因是：年中追加人员工资、绩效奖、退役军人就业创业项目、退役军人就业创业补助项目。自主择业军转干部地方配套项目、退役局自来水管道维修经费、春节、八一慰问经费、中央财政部分企业军队转业干部生活困难补助、自治区自主择业军队转业干部逐月领取退役金退役军人服务管理补助经费等项目，导致预决算存在差异。</w:t>
      </w:r>
    </w:p>
    <w:p>
      <w:pPr>
        <w:spacing w:line="640" w:lineRule="exact"/>
        <w:ind w:firstLine="640"/>
        <w:jc w:val="both"/>
        <w:outlineLvl w:val="2"/>
      </w:pPr>
      <w:r>
        <w:rPr>
          <w:rFonts w:ascii="黑体" w:hAnsi="黑体" w:eastAsia="黑体"/>
          <w:sz w:val="32"/>
        </w:rPr>
        <w:t>五、一般公共预算财政拨款支出决算情况说明</w:t>
      </w:r>
    </w:p>
    <w:p>
      <w:pPr>
        <w:spacing w:line="580" w:lineRule="exact"/>
        <w:ind w:firstLine="640"/>
        <w:jc w:val="both"/>
      </w:pPr>
      <w:r>
        <w:rPr>
          <w:rFonts w:ascii="仿宋_GB2312" w:hAnsi="仿宋_GB2312" w:eastAsia="仿宋_GB2312"/>
          <w:b w:val="0"/>
          <w:sz w:val="32"/>
        </w:rPr>
        <w:t>按照党中央、国务院关于党政机关习惯过紧日子的有关要求，厉行节约办一切事业，严控一般性支出。同时坚持有保有压，优化支出结构，提高资金使用效率，合理保障机构运行、公共服务等重点支出，体现在有关支出科目中。</w:t>
      </w:r>
    </w:p>
    <w:p>
      <w:pPr>
        <w:spacing w:line="580" w:lineRule="exact"/>
        <w:ind w:firstLine="640"/>
        <w:jc w:val="both"/>
      </w:pPr>
      <w:r>
        <w:rPr>
          <w:rFonts w:ascii="仿宋_GB2312" w:hAnsi="仿宋_GB2312" w:eastAsia="仿宋_GB2312"/>
          <w:b w:val="0"/>
          <w:sz w:val="32"/>
        </w:rPr>
        <w:t>按照支出功能分类，社会保障和就业支出（类）退役安置（款）其他退役安置支出（项）的支出占本年财政拨款支出总额的比重最高，2025年度决算数为258.37万元，占比34.05%，主要用于机关运行补助经费、宣传工作经、部分退役士兵医疗保险补缴配套经费、退役军人就业创业项目、退役军人就业创业补助项目、自主择业军转干部地方配套项目、退役局自来水管道维修经费等项目，导致预决算存在差异。</w:t>
      </w:r>
    </w:p>
    <w:p>
      <w:pPr>
        <w:spacing w:line="640" w:lineRule="exact"/>
        <w:ind w:firstLine="640"/>
        <w:jc w:val="both"/>
        <w:outlineLvl w:val="3"/>
      </w:pPr>
      <w:r>
        <w:rPr>
          <w:rFonts w:ascii="楷体_GB2312" w:hAnsi="楷体_GB2312" w:eastAsia="楷体_GB2312"/>
          <w:b/>
          <w:sz w:val="32"/>
        </w:rPr>
        <w:t>（一）一般公共预算财政拨款支出决算总体情况</w:t>
      </w:r>
    </w:p>
    <w:p>
      <w:pPr>
        <w:spacing w:line="580" w:lineRule="exact"/>
        <w:ind w:firstLine="640"/>
        <w:jc w:val="both"/>
      </w:pPr>
      <w:r>
        <w:rPr>
          <w:rFonts w:ascii="仿宋_GB2312" w:hAnsi="仿宋_GB2312" w:eastAsia="仿宋_GB2312"/>
          <w:b/>
          <w:sz w:val="32"/>
        </w:rPr>
        <w:t>2025年度一般公共预算财政拨款支出758.88万元，</w:t>
      </w:r>
      <w:r>
        <w:rPr>
          <w:rFonts w:ascii="仿宋_GB2312" w:hAnsi="仿宋_GB2312" w:eastAsia="仿宋_GB2312"/>
          <w:b w:val="0"/>
          <w:sz w:val="32"/>
        </w:rPr>
        <w:t>占本年支出合计的92.95%。</w:t>
      </w:r>
      <w:r>
        <w:rPr>
          <w:rFonts w:ascii="仿宋_GB2312" w:hAnsi="仿宋_GB2312" w:eastAsia="仿宋_GB2312"/>
          <w:b/>
          <w:sz w:val="32"/>
        </w:rPr>
        <w:t>与上年相比，</w:t>
      </w:r>
      <w:r>
        <w:rPr>
          <w:rFonts w:ascii="仿宋_GB2312" w:hAnsi="仿宋_GB2312" w:eastAsia="仿宋_GB2312"/>
          <w:b w:val="0"/>
          <w:sz w:val="32"/>
        </w:rPr>
        <w:t>增加8.39万元，增长1.12%，主要原因是：本年在职人员工资调增，社保、公积金基数调增，人员经费增加。</w:t>
      </w:r>
      <w:r>
        <w:rPr>
          <w:rFonts w:ascii="仿宋_GB2312" w:hAnsi="仿宋_GB2312" w:eastAsia="仿宋_GB2312"/>
          <w:b/>
          <w:sz w:val="32"/>
        </w:rPr>
        <w:t>与年初预算相比，</w:t>
      </w:r>
      <w:r>
        <w:rPr>
          <w:rFonts w:ascii="仿宋_GB2312" w:hAnsi="仿宋_GB2312" w:eastAsia="仿宋_GB2312"/>
          <w:b w:val="0"/>
          <w:sz w:val="32"/>
        </w:rPr>
        <w:t>年初预算数500.80万元，决算数758.88万元，预决算差异率51.53%，主要原因是：年中追加人员工资、绩效奖、退役军人就业创业项目、退役军人就业创业补助项目。自主择业军转干部地方配套项目、退役局自来水管道维修经费、春节、八一慰问经费、中央财政部分企业军队转业干部生活困难补助、自治区自主择业军队转业干部逐月领取退役金退役军人服务管理补助经费等项目，导致预决算存在差异。</w:t>
      </w:r>
    </w:p>
    <w:p>
      <w:pPr>
        <w:spacing w:line="640" w:lineRule="exact"/>
        <w:ind w:firstLine="640"/>
        <w:jc w:val="both"/>
        <w:outlineLvl w:val="3"/>
      </w:pPr>
      <w:r>
        <w:rPr>
          <w:rFonts w:ascii="楷体_GB2312" w:hAnsi="楷体_GB2312" w:eastAsia="楷体_GB2312"/>
          <w:b/>
          <w:sz w:val="32"/>
        </w:rPr>
        <w:t>（二）一般公共预算财政拨款支出决算结构情况</w:t>
      </w:r>
    </w:p>
    <w:p>
      <w:pPr>
        <w:spacing w:line="580" w:lineRule="exact"/>
        <w:ind w:firstLine="640"/>
        <w:jc w:val="both"/>
      </w:pPr>
      <w:r>
        <w:rPr>
          <w:rFonts w:ascii="仿宋_GB2312" w:hAnsi="仿宋_GB2312" w:eastAsia="仿宋_GB2312"/>
          <w:b w:val="0"/>
          <w:sz w:val="32"/>
        </w:rPr>
        <w:t>1.社会保障和就业支出（类）717.42万元，占94.54%。</w:t>
      </w:r>
    </w:p>
    <w:p>
      <w:pPr>
        <w:spacing w:line="580" w:lineRule="exact"/>
        <w:ind w:firstLine="640"/>
        <w:jc w:val="both"/>
      </w:pPr>
      <w:r>
        <w:rPr>
          <w:rFonts w:ascii="仿宋_GB2312" w:hAnsi="仿宋_GB2312" w:eastAsia="仿宋_GB2312"/>
          <w:b w:val="0"/>
          <w:sz w:val="32"/>
        </w:rPr>
        <w:t>2.卫生健康支出（类）20.89万元，占2.75%。</w:t>
      </w:r>
    </w:p>
    <w:p>
      <w:pPr>
        <w:spacing w:line="580" w:lineRule="exact"/>
        <w:ind w:firstLine="640"/>
        <w:jc w:val="both"/>
      </w:pPr>
      <w:r>
        <w:rPr>
          <w:rFonts w:ascii="仿宋_GB2312" w:hAnsi="仿宋_GB2312" w:eastAsia="仿宋_GB2312"/>
          <w:b w:val="0"/>
          <w:sz w:val="32"/>
        </w:rPr>
        <w:t>3.住房保障支出（类）20.57万元，占2.71%。</w:t>
      </w:r>
    </w:p>
    <w:p>
      <w:pPr>
        <w:spacing w:line="640" w:lineRule="exact"/>
        <w:ind w:firstLine="640"/>
        <w:jc w:val="both"/>
        <w:outlineLvl w:val="3"/>
      </w:pPr>
      <w:r>
        <w:rPr>
          <w:rFonts w:ascii="楷体_GB2312" w:hAnsi="楷体_GB2312" w:eastAsia="楷体_GB2312"/>
          <w:b/>
          <w:sz w:val="32"/>
        </w:rPr>
        <w:t>（三）一般公共预算财政拨款支出决算具体情况</w:t>
      </w:r>
    </w:p>
    <w:p>
      <w:pPr>
        <w:spacing w:line="580" w:lineRule="exact"/>
        <w:ind w:firstLine="640"/>
        <w:jc w:val="both"/>
      </w:pPr>
      <w:r>
        <w:rPr>
          <w:rFonts w:ascii="仿宋_GB2312" w:hAnsi="仿宋_GB2312" w:eastAsia="仿宋_GB2312"/>
          <w:b w:val="0"/>
          <w:sz w:val="32"/>
        </w:rPr>
        <w:t>1.社会保障和就业支出（类）行政事业单位养老支出（款）行政单位离退休（项）：支出决算数为1.66万元，比上年决算增加1.03万元，增长163.49%，主要原因是：本年退休人员增加，退休费支出增加。</w:t>
      </w:r>
    </w:p>
    <w:p>
      <w:pPr>
        <w:spacing w:line="580" w:lineRule="exact"/>
        <w:ind w:firstLine="640"/>
        <w:jc w:val="both"/>
      </w:pPr>
      <w:r>
        <w:rPr>
          <w:rFonts w:ascii="仿宋_GB2312" w:hAnsi="仿宋_GB2312" w:eastAsia="仿宋_GB2312"/>
          <w:b w:val="0"/>
          <w:sz w:val="32"/>
        </w:rPr>
        <w:t>2.社会保障和就业支出（类）行政事业单位养老支出（款）机关事业单位基本养老保险缴费支出（项）：支出决算数为25.34万元，比上年决算增加0.15万元，增长0.60%，主要原因是：年在职人员工资基数调增，养老缴费基数上涨，相应支出增加。</w:t>
      </w:r>
    </w:p>
    <w:p>
      <w:pPr>
        <w:spacing w:line="580" w:lineRule="exact"/>
        <w:ind w:firstLine="640"/>
        <w:jc w:val="both"/>
      </w:pPr>
      <w:r>
        <w:rPr>
          <w:rFonts w:ascii="仿宋_GB2312" w:hAnsi="仿宋_GB2312" w:eastAsia="仿宋_GB2312"/>
          <w:b w:val="0"/>
          <w:sz w:val="32"/>
        </w:rPr>
        <w:t>3.社会保障和就业支出（类）行政事业单位养老支出（款）机关事业单位职业年金缴费支出（项）：支出决算数为12.67万元，比上年决算减少6.40万元，下降33.56%，主要原因是：本年新退休人员较上年减少，职业年金缴费较上年减少。</w:t>
      </w:r>
    </w:p>
    <w:p>
      <w:pPr>
        <w:spacing w:line="580" w:lineRule="exact"/>
        <w:ind w:firstLine="640"/>
        <w:jc w:val="both"/>
      </w:pPr>
      <w:r>
        <w:rPr>
          <w:rFonts w:ascii="仿宋_GB2312" w:hAnsi="仿宋_GB2312" w:eastAsia="仿宋_GB2312"/>
          <w:b w:val="0"/>
          <w:sz w:val="32"/>
        </w:rPr>
        <w:t>4.社会保障和就业支出（类）退役安置（款）军队转业干部安置（项）：支出决算数为115.42万元，比上年决算减少29.02万元，下降20.09%，主要原因是：本年中央财政军队转业干部补助经费项目，中央财政企业军队专业干部生活困难补助资金项目、自治区自主择业军队转业干部及逐月领取退役金退役军人管理服务补助经费安排较上年减少，导致军队转业干部安置经费较上年减少。</w:t>
      </w:r>
    </w:p>
    <w:p>
      <w:pPr>
        <w:spacing w:line="580" w:lineRule="exact"/>
        <w:ind w:firstLine="640"/>
        <w:jc w:val="both"/>
      </w:pPr>
      <w:r>
        <w:rPr>
          <w:rFonts w:ascii="仿宋_GB2312" w:hAnsi="仿宋_GB2312" w:eastAsia="仿宋_GB2312"/>
          <w:b w:val="0"/>
          <w:sz w:val="32"/>
        </w:rPr>
        <w:t>5.社会保障和就业支出（类）退役安置（款）其他退役安置支出（项）：支出决算数为258.37万元，比上年决算增加243.73万元，增长1,664.82%，主要原因是：本年增加机关运行补助、宣传工作经费、部分退役士兵医疗保险补缴配套经费、自主择业军队转业干部地方配套经费、退役军人就业创业专项补贴资金项目科目调整，使用其他退役安置支出，经费增加。</w:t>
      </w:r>
    </w:p>
    <w:p>
      <w:pPr>
        <w:spacing w:line="580" w:lineRule="exact"/>
        <w:ind w:firstLine="640"/>
        <w:jc w:val="both"/>
      </w:pPr>
      <w:r>
        <w:rPr>
          <w:rFonts w:ascii="仿宋_GB2312" w:hAnsi="仿宋_GB2312" w:eastAsia="仿宋_GB2312"/>
          <w:b w:val="0"/>
          <w:sz w:val="32"/>
        </w:rPr>
        <w:t>6.社会保障和就业支出（类）退役军人管理事务（款）行政运行（项）：支出决算数为229.93万元，比上年决算增加12.54万元，增长5.77%，主要原因是：本年在职人员工资调增，导致相关人员经费较上年有所增加。</w:t>
      </w:r>
    </w:p>
    <w:p>
      <w:pPr>
        <w:spacing w:line="580" w:lineRule="exact"/>
        <w:ind w:firstLine="640"/>
        <w:jc w:val="both"/>
      </w:pPr>
      <w:r>
        <w:rPr>
          <w:rFonts w:ascii="仿宋_GB2312" w:hAnsi="仿宋_GB2312" w:eastAsia="仿宋_GB2312"/>
          <w:b w:val="0"/>
          <w:sz w:val="32"/>
        </w:rPr>
        <w:t>7.社会保障和就业支出（类）退役军人管理事务（款）一般行政管理事务（项）：支出决算数为0.00万元，比上年决算减少233.83万元，下降100.00%，主要原因是：本年功能科目调整，自主择业军转干部地方配套经费本年度调整至军队转业干部安置科目列支，导致经费较上年减少。</w:t>
      </w:r>
    </w:p>
    <w:p>
      <w:pPr>
        <w:spacing w:line="580" w:lineRule="exact"/>
        <w:ind w:firstLine="640"/>
        <w:jc w:val="both"/>
      </w:pPr>
      <w:r>
        <w:rPr>
          <w:rFonts w:ascii="仿宋_GB2312" w:hAnsi="仿宋_GB2312" w:eastAsia="仿宋_GB2312"/>
          <w:b w:val="0"/>
          <w:sz w:val="32"/>
        </w:rPr>
        <w:t>8.社会保障和就业支出（类）退役军人管理事务（款）拥军优属（项）：支出决算数为74.03万元，比上年决算增加13.67万元，增长22.65%，主要原因是：本年双拥经费项目、慰问项目预算安排增加，导致拥军优属经费较上年增加。</w:t>
      </w:r>
    </w:p>
    <w:p>
      <w:pPr>
        <w:spacing w:line="580" w:lineRule="exact"/>
        <w:ind w:firstLine="640"/>
        <w:jc w:val="both"/>
      </w:pPr>
      <w:r>
        <w:rPr>
          <w:rFonts w:ascii="仿宋_GB2312" w:hAnsi="仿宋_GB2312" w:eastAsia="仿宋_GB2312"/>
          <w:b w:val="0"/>
          <w:sz w:val="32"/>
        </w:rPr>
        <w:t>9.卫生健康支出（类）行政事业单位医疗（款）行政单位医疗（项）：支出决算数为8.69万元，比上年决算减少0.05万元，下降0.57%，主要原因是：本年在职人员调入调出，人员职级不同，缴费基数不同，导致行政单位医疗支出较上年减少。</w:t>
      </w:r>
    </w:p>
    <w:p>
      <w:pPr>
        <w:spacing w:line="580" w:lineRule="exact"/>
        <w:ind w:firstLine="640"/>
        <w:jc w:val="both"/>
      </w:pPr>
      <w:r>
        <w:rPr>
          <w:rFonts w:ascii="仿宋_GB2312" w:hAnsi="仿宋_GB2312" w:eastAsia="仿宋_GB2312"/>
          <w:b w:val="0"/>
          <w:sz w:val="32"/>
        </w:rPr>
        <w:t>10.卫生健康支出（类）行政事业单位医疗（款）事业单位医疗（项）：支出决算数为4.00万元，比上年决算减少1.14万元，下降22.18%，主要原因是：本年在职人员调入调出，人员职级不同，缴费基数不同，导致事业单位医疗支出较上年减少。</w:t>
      </w:r>
    </w:p>
    <w:p>
      <w:pPr>
        <w:spacing w:line="580" w:lineRule="exact"/>
        <w:ind w:firstLine="640"/>
        <w:jc w:val="both"/>
      </w:pPr>
      <w:r>
        <w:rPr>
          <w:rFonts w:ascii="仿宋_GB2312" w:hAnsi="仿宋_GB2312" w:eastAsia="仿宋_GB2312"/>
          <w:b w:val="0"/>
          <w:sz w:val="32"/>
        </w:rPr>
        <w:t>11.卫生健康支出（类）行政事业单位医疗（款）公务员医疗补助（项）：支出决算数为8.00万元，比上年决算增加7.21万元，增长912.66%，主要原因是：本年在职人员工资基数调增，医疗缴费基数上涨，相应支出增加。</w:t>
      </w:r>
    </w:p>
    <w:p>
      <w:pPr>
        <w:spacing w:line="580" w:lineRule="exact"/>
        <w:ind w:firstLine="640"/>
        <w:jc w:val="both"/>
      </w:pPr>
      <w:r>
        <w:rPr>
          <w:rFonts w:ascii="仿宋_GB2312" w:hAnsi="仿宋_GB2312" w:eastAsia="仿宋_GB2312"/>
          <w:b w:val="0"/>
          <w:sz w:val="32"/>
        </w:rPr>
        <w:t>12.卫生健康支出（类）行政事业单位医疗（款）其他行政事业单位医疗支出（项）：支出决算数为0.20万元，比上年决算增加0.15万元，增长300.00%，主要原因是：本年在职人员工资基数调增，医疗缴费基数上涨，相应支出增加。</w:t>
      </w:r>
    </w:p>
    <w:p>
      <w:pPr>
        <w:spacing w:line="580" w:lineRule="exact"/>
        <w:ind w:firstLine="640"/>
        <w:jc w:val="both"/>
      </w:pPr>
      <w:r>
        <w:rPr>
          <w:rFonts w:ascii="仿宋_GB2312" w:hAnsi="仿宋_GB2312" w:eastAsia="仿宋_GB2312"/>
          <w:b w:val="0"/>
          <w:sz w:val="32"/>
        </w:rPr>
        <w:t>13.住房保障支出（类）住房改革支出（款）住房公积金（项）：支出决算数为20.57万元，比上年决算增加0.36万元，增长1.78%，主要原因是：本年在职人员工资基数调增，公积金缴费基数上涨，相应支出增加。</w:t>
      </w:r>
    </w:p>
    <w:p>
      <w:pPr>
        <w:spacing w:line="640" w:lineRule="exact"/>
        <w:ind w:firstLine="640"/>
        <w:jc w:val="both"/>
        <w:outlineLvl w:val="2"/>
      </w:pPr>
      <w:r>
        <w:rPr>
          <w:rFonts w:ascii="黑体" w:hAnsi="黑体" w:eastAsia="黑体"/>
          <w:sz w:val="32"/>
        </w:rPr>
        <w:t>六、一般公共预算财政拨款基本支出决算情况说明</w:t>
      </w:r>
    </w:p>
    <w:p>
      <w:pPr>
        <w:spacing w:line="580" w:lineRule="exact"/>
        <w:ind w:firstLine="640"/>
        <w:jc w:val="both"/>
      </w:pPr>
      <w:r>
        <w:rPr>
          <w:rFonts w:ascii="仿宋_GB2312" w:hAnsi="仿宋_GB2312" w:eastAsia="仿宋_GB2312"/>
          <w:b w:val="0"/>
          <w:sz w:val="32"/>
        </w:rPr>
        <w:t>2025年度一般公共预算财政拨款基本支出311.06万元，其中：</w:t>
      </w:r>
      <w:r>
        <w:rPr>
          <w:rFonts w:ascii="仿宋_GB2312" w:hAnsi="仿宋_GB2312" w:eastAsia="仿宋_GB2312"/>
          <w:b/>
          <w:sz w:val="32"/>
        </w:rPr>
        <w:t>人员经费274.18万元，</w:t>
      </w:r>
      <w:r>
        <w:rPr>
          <w:rFonts w:ascii="仿宋_GB2312" w:hAnsi="仿宋_GB2312" w:eastAsia="仿宋_GB2312"/>
          <w:b w:val="0"/>
          <w:sz w:val="32"/>
        </w:rPr>
        <w:t>包括：基本工资、津贴补贴、奖金、绩效工资、机关事业单位基本养老保险缴费、职业年金缴费、职工基本医疗保险缴费、公务员医疗补助缴费、其他社会保障缴费、住房公积金、退休费、奖励金。</w:t>
      </w:r>
    </w:p>
    <w:p>
      <w:pPr>
        <w:spacing w:line="580" w:lineRule="exact"/>
        <w:ind w:firstLine="640"/>
        <w:jc w:val="both"/>
      </w:pPr>
      <w:r>
        <w:rPr>
          <w:rFonts w:ascii="仿宋_GB2312" w:hAnsi="仿宋_GB2312" w:eastAsia="仿宋_GB2312"/>
          <w:b/>
          <w:sz w:val="32"/>
        </w:rPr>
        <w:t>公用经费36.88万元，</w:t>
      </w:r>
      <w:r>
        <w:rPr>
          <w:rFonts w:ascii="仿宋_GB2312" w:hAnsi="仿宋_GB2312" w:eastAsia="仿宋_GB2312"/>
          <w:b w:val="0"/>
          <w:sz w:val="32"/>
        </w:rPr>
        <w:t>包括：办公费、水费、电费、邮电费、取暖费、物业管理费、差旅费、公务接待费、劳务费、委托业务费、工会经费、福利费、公务用车运行维护费、其他商品和服务支出。</w:t>
      </w:r>
    </w:p>
    <w:p>
      <w:pPr>
        <w:spacing w:line="640" w:lineRule="exact"/>
        <w:ind w:firstLine="640"/>
        <w:jc w:val="both"/>
        <w:outlineLvl w:val="2"/>
      </w:pPr>
      <w:r>
        <w:rPr>
          <w:rFonts w:ascii="黑体" w:hAnsi="黑体" w:eastAsia="黑体"/>
          <w:sz w:val="32"/>
        </w:rPr>
        <w:t>七、政府性基金预算财政拨款收入支出决算情况说明</w:t>
      </w:r>
    </w:p>
    <w:p>
      <w:pPr>
        <w:spacing w:line="580" w:lineRule="exact"/>
        <w:ind w:firstLine="640"/>
        <w:jc w:val="both"/>
      </w:pPr>
      <w:r>
        <w:rPr>
          <w:rFonts w:ascii="仿宋_GB2312" w:hAnsi="仿宋_GB2312" w:eastAsia="仿宋_GB2312"/>
          <w:b w:val="0"/>
          <w:sz w:val="32"/>
        </w:rPr>
        <w:t>本单位本年度无政府性基金预算财政拨款收入、支出及结转和结余，政府性基金预算财政拨款收入支出决算表为空表。</w:t>
      </w:r>
    </w:p>
    <w:p>
      <w:pPr>
        <w:spacing w:line="640" w:lineRule="exact"/>
        <w:ind w:firstLine="640"/>
        <w:jc w:val="both"/>
        <w:outlineLvl w:val="2"/>
      </w:pPr>
      <w:r>
        <w:rPr>
          <w:rFonts w:ascii="黑体" w:hAnsi="黑体" w:eastAsia="黑体"/>
          <w:sz w:val="32"/>
        </w:rPr>
        <w:t>八、国有资本经营预算财政拨款收入支出决算情况说明</w:t>
      </w:r>
    </w:p>
    <w:p>
      <w:pPr>
        <w:spacing w:line="580" w:lineRule="exact"/>
        <w:ind w:firstLine="640"/>
        <w:jc w:val="both"/>
      </w:pPr>
      <w:r>
        <w:rPr>
          <w:rFonts w:ascii="仿宋_GB2312" w:hAnsi="仿宋_GB2312" w:eastAsia="仿宋_GB2312"/>
          <w:b w:val="0"/>
          <w:sz w:val="32"/>
        </w:rPr>
        <w:t>本单位本年度无国有资本经营预算财政拨款收入、支出及结转和结余，国有资本经营预算财政拨款收入支出决算表为空表。</w:t>
      </w:r>
    </w:p>
    <w:p>
      <w:pPr>
        <w:spacing w:line="640" w:lineRule="exact"/>
        <w:ind w:firstLine="640"/>
        <w:jc w:val="both"/>
        <w:outlineLvl w:val="2"/>
      </w:pPr>
      <w:r>
        <w:rPr>
          <w:rFonts w:ascii="黑体" w:hAnsi="黑体" w:eastAsia="黑体"/>
          <w:sz w:val="32"/>
        </w:rPr>
        <w:t>九、财政拨款“三公”经费支出决算情况说明</w:t>
      </w:r>
    </w:p>
    <w:p>
      <w:pPr>
        <w:spacing w:line="580" w:lineRule="exact"/>
        <w:ind w:firstLine="640"/>
        <w:jc w:val="both"/>
      </w:pPr>
      <w:r>
        <w:rPr>
          <w:rFonts w:ascii="仿宋_GB2312" w:hAnsi="仿宋_GB2312" w:eastAsia="仿宋_GB2312"/>
          <w:b/>
          <w:sz w:val="32"/>
        </w:rPr>
        <w:t>2025年度财政拨款“三公”经费支出3.18万元，</w:t>
      </w:r>
      <w:r>
        <w:rPr>
          <w:rFonts w:ascii="仿宋_GB2312" w:hAnsi="仿宋_GB2312" w:eastAsia="仿宋_GB2312"/>
          <w:b w:val="0"/>
          <w:sz w:val="32"/>
        </w:rPr>
        <w:t>比上年增加0.00万元，增长0.00%，主要原因是：本单位财政拨款“三公”经费与上年一致无变化。</w:t>
      </w:r>
      <w:r>
        <w:rPr>
          <w:rFonts w:ascii="仿宋_GB2312" w:hAnsi="仿宋_GB2312" w:eastAsia="仿宋_GB2312"/>
          <w:b w:val="0"/>
          <w:sz w:val="32"/>
        </w:rPr>
        <w:t>其中：因公出国（境）费用支出0.00万元，占0.00%，比上年增加0.00万元，增长0.00%，主要原因是：2024年与2025年均无因公出国（境）费用支出。</w:t>
      </w:r>
      <w:r>
        <w:rPr>
          <w:rFonts w:ascii="仿宋_GB2312" w:hAnsi="仿宋_GB2312" w:eastAsia="仿宋_GB2312"/>
          <w:b w:val="0"/>
          <w:sz w:val="32"/>
        </w:rPr>
        <w:t>公务用车购置及运行维护费支出3.00万元，占94.34%，比上年增加0.00万元，增长0.00%，主要原因是：本单位公务用车购置及运行维护费与上年一致无变化。</w:t>
      </w:r>
      <w:r>
        <w:rPr>
          <w:rFonts w:ascii="仿宋_GB2312" w:hAnsi="仿宋_GB2312" w:eastAsia="仿宋_GB2312"/>
          <w:b w:val="0"/>
          <w:sz w:val="32"/>
        </w:rPr>
        <w:t>公务接待费支出0.18万元，占5.66%，比上年增加0.00万元，增长0.00%，主要原因是：本单位公务接待费与上年一致无变化。</w:t>
      </w:r>
    </w:p>
    <w:p>
      <w:pPr>
        <w:spacing w:line="580" w:lineRule="exact"/>
        <w:ind w:firstLine="640"/>
        <w:jc w:val="both"/>
      </w:pPr>
      <w:r>
        <w:rPr>
          <w:rFonts w:ascii="仿宋_GB2312" w:hAnsi="仿宋_GB2312" w:eastAsia="仿宋_GB2312"/>
          <w:b/>
          <w:sz w:val="32"/>
        </w:rPr>
        <w:t>具体情况如下：</w:t>
      </w:r>
    </w:p>
    <w:p>
      <w:pPr>
        <w:spacing w:line="580" w:lineRule="exact"/>
        <w:ind w:firstLine="640"/>
        <w:jc w:val="both"/>
      </w:pPr>
      <w:r>
        <w:rPr>
          <w:rFonts w:ascii="仿宋_GB2312" w:hAnsi="仿宋_GB2312" w:eastAsia="仿宋_GB2312"/>
          <w:b w:val="0"/>
          <w:sz w:val="32"/>
        </w:rPr>
        <w:t>因公出国（境）费用0.00万元，开支内容包括本单位无因公出国（境）费用。单位全年安排的因公出国（境）团组0个，因公出国（境）0人次。</w:t>
      </w:r>
    </w:p>
    <w:p>
      <w:pPr>
        <w:spacing w:line="580" w:lineRule="exact"/>
        <w:ind w:firstLine="640"/>
        <w:jc w:val="both"/>
      </w:pPr>
      <w:r>
        <w:rPr>
          <w:rFonts w:ascii="仿宋_GB2312" w:hAnsi="仿宋_GB2312" w:eastAsia="仿宋_GB2312"/>
          <w:b w:val="0"/>
          <w:sz w:val="32"/>
        </w:rPr>
        <w:t>公务用车购置及运行维护费3.00万元，其中：公务用车购置费0.00万元，公务用车运行维护费3.00万元。公务用车运行维护费开支内容包括车辆加油费、维修费、保险费、审车费、过路费等。公务用车购置数0辆，公务用车保有量1辆。国有资产占用情况中固定资产车辆1辆，与公务用车保有量差异原因是：本单位公务用车保有量与固定资产车辆一致无差异。</w:t>
      </w:r>
    </w:p>
    <w:p>
      <w:pPr>
        <w:spacing w:line="580" w:lineRule="exact"/>
        <w:ind w:firstLine="640"/>
        <w:jc w:val="both"/>
      </w:pPr>
      <w:r>
        <w:rPr>
          <w:rFonts w:ascii="仿宋_GB2312" w:hAnsi="仿宋_GB2312" w:eastAsia="仿宋_GB2312"/>
          <w:b w:val="0"/>
          <w:sz w:val="32"/>
        </w:rPr>
        <w:t>公务接待费0.18万元，开支内容包括因军休服务管理和信息化建设调研，接待自治区退役军人事务厅上级领导考察；西藏自治区退役军人事务厅工作调研产生的就餐费。单位全年安排的国内公务接待2批次，13人次。</w:t>
      </w:r>
    </w:p>
    <w:p>
      <w:pPr>
        <w:spacing w:line="580" w:lineRule="exact"/>
        <w:ind w:firstLine="640"/>
        <w:jc w:val="both"/>
      </w:pPr>
      <w:r>
        <w:rPr>
          <w:rFonts w:ascii="仿宋_GB2312" w:hAnsi="仿宋_GB2312" w:eastAsia="仿宋_GB2312"/>
          <w:b/>
          <w:sz w:val="32"/>
        </w:rPr>
        <w:t>与全年预算相比，</w:t>
      </w:r>
      <w:r>
        <w:rPr>
          <w:rFonts w:ascii="仿宋_GB2312" w:hAnsi="仿宋_GB2312" w:eastAsia="仿宋_GB2312"/>
          <w:b w:val="0"/>
          <w:sz w:val="32"/>
        </w:rPr>
        <w:t>财政拨款“三公”经费支出全年预算数3.18万元，决算数3.18万元，预决算差异率0.00%，主要原因是：严格按照预算执行，预决算无差异。其中：因公出国（境）费用全年预算数0.00万元，决算数0.00万元，预决算差异率0.00%，主要原因是：本单位无因公出国（境）费用。公务用车购置费全年预算数0.00万元，决算数0.00万元，预决算差异率0.00%，主要原因是：本单位无公务用车购置费。公务用车运行维护费全年预算数3.00万元，决算数3.00万元，预决算差异率0.00%，主要原因是：严格按照预算执行，预决算无差异。公务接待费全年预算数0.18万元，决算数0.18万元，预决算差异率0.00%，主要原因是：严格按照预算执行，预决算无差异。</w:t>
      </w:r>
    </w:p>
    <w:p>
      <w:pPr>
        <w:spacing w:line="640" w:lineRule="exact"/>
        <w:ind w:firstLine="640"/>
        <w:jc w:val="both"/>
        <w:outlineLvl w:val="2"/>
      </w:pPr>
      <w:r>
        <w:rPr>
          <w:rFonts w:ascii="黑体" w:hAnsi="黑体" w:eastAsia="黑体"/>
          <w:sz w:val="32"/>
        </w:rPr>
        <w:t>十、其他重要事项的情况说明</w:t>
      </w:r>
    </w:p>
    <w:p>
      <w:pPr>
        <w:spacing w:line="640" w:lineRule="exact"/>
        <w:ind w:firstLine="640"/>
        <w:jc w:val="both"/>
        <w:outlineLvl w:val="3"/>
      </w:pPr>
      <w:r>
        <w:rPr>
          <w:rFonts w:ascii="楷体_GB2312" w:hAnsi="楷体_GB2312" w:eastAsia="楷体_GB2312"/>
          <w:b/>
          <w:sz w:val="32"/>
        </w:rPr>
        <w:t>（一）机关运行经费及公用经费支出情况</w:t>
      </w:r>
    </w:p>
    <w:p>
      <w:pPr>
        <w:spacing w:line="580" w:lineRule="exact"/>
        <w:ind w:firstLine="640"/>
        <w:jc w:val="both"/>
      </w:pPr>
      <w:r>
        <w:rPr>
          <w:rFonts w:ascii="仿宋_GB2312" w:hAnsi="仿宋_GB2312" w:eastAsia="仿宋_GB2312"/>
          <w:b w:val="0"/>
          <w:sz w:val="32"/>
        </w:rPr>
        <w:t>2025年度昌吉回族自治州退役军人事务局（行政单位和参照公务员法管理事业单位）机关运行经费支出36.88万元，比上年增加6.05万元，增长19.62%，主要原因是：本年业务量增加，劳务费等机关运行经费增加。</w:t>
      </w:r>
    </w:p>
    <w:p>
      <w:pPr>
        <w:spacing w:line="640" w:lineRule="exact"/>
        <w:ind w:firstLine="640"/>
        <w:jc w:val="both"/>
        <w:outlineLvl w:val="3"/>
      </w:pPr>
      <w:r>
        <w:rPr>
          <w:rFonts w:ascii="楷体_GB2312" w:hAnsi="楷体_GB2312" w:eastAsia="楷体_GB2312"/>
          <w:b/>
          <w:sz w:val="32"/>
        </w:rPr>
        <w:t>（二）政府采购情况</w:t>
      </w:r>
    </w:p>
    <w:p>
      <w:pPr>
        <w:spacing w:line="580" w:lineRule="exact"/>
        <w:ind w:firstLine="640"/>
        <w:jc w:val="both"/>
      </w:pPr>
      <w:r>
        <w:rPr>
          <w:rFonts w:ascii="仿宋_GB2312" w:hAnsi="仿宋_GB2312" w:eastAsia="仿宋_GB2312"/>
          <w:b w:val="0"/>
          <w:sz w:val="32"/>
        </w:rPr>
        <w:t>2025年度政府采购支出总额108.80万元，其中：政府采购货物支出35.00万元、政府采购工程支出0.00万元、政府采购服务支出73.80万元。</w:t>
      </w:r>
    </w:p>
    <w:p>
      <w:pPr>
        <w:spacing w:line="580" w:lineRule="exact"/>
        <w:ind w:firstLine="640"/>
        <w:jc w:val="both"/>
      </w:pPr>
      <w:r>
        <w:rPr>
          <w:rFonts w:ascii="仿宋_GB2312" w:hAnsi="仿宋_GB2312" w:eastAsia="仿宋_GB2312"/>
          <w:b w:val="0"/>
          <w:sz w:val="32"/>
        </w:rPr>
        <w:t>授予中小企业合同金额108.80万元，占政府采购支出总额的100.00%，其中：授予小微企业合同金额108.80万元，占政府采购支出总额的100.00%。</w:t>
      </w:r>
    </w:p>
    <w:p>
      <w:pPr>
        <w:spacing w:line="640" w:lineRule="exact"/>
        <w:ind w:firstLine="640"/>
        <w:jc w:val="both"/>
        <w:outlineLvl w:val="3"/>
      </w:pPr>
      <w:r>
        <w:rPr>
          <w:rFonts w:ascii="楷体_GB2312" w:hAnsi="楷体_GB2312" w:eastAsia="楷体_GB2312"/>
          <w:b/>
          <w:sz w:val="32"/>
        </w:rPr>
        <w:t>（三）国有资产占用情况说明</w:t>
      </w:r>
    </w:p>
    <w:p>
      <w:pPr>
        <w:spacing w:line="580" w:lineRule="exact"/>
        <w:ind w:firstLine="640"/>
        <w:jc w:val="both"/>
      </w:pPr>
      <w:r>
        <w:rPr>
          <w:rFonts w:ascii="仿宋_GB2312" w:hAnsi="仿宋_GB2312" w:eastAsia="仿宋_GB2312"/>
          <w:b w:val="0"/>
          <w:sz w:val="32"/>
        </w:rPr>
        <w:t>截至2025年12月31日，房屋0.00平方米，价值0.00万元。车辆1辆，价值20.80万元，其中：副部（省）级及以上领导用车0辆、主要负责人用车0辆、机要通信用车0辆、应急保障用车0辆、执法执勤用车0辆、特种专业技术用车0辆、离退休干部服务用车0辆、其他用车1辆，其他用车主要是：一般公务用车。单价100万元（含）以上设备（不含车辆）0台（套）。</w:t>
      </w:r>
    </w:p>
    <w:p>
      <w:pPr>
        <w:spacing w:line="640" w:lineRule="exact"/>
        <w:ind w:firstLine="640"/>
        <w:jc w:val="both"/>
        <w:outlineLvl w:val="2"/>
      </w:pPr>
      <w:r>
        <w:rPr>
          <w:rFonts w:ascii="黑体" w:hAnsi="黑体" w:eastAsia="黑体"/>
          <w:sz w:val="32"/>
        </w:rPr>
        <w:t>十一、预算绩效的情况说明</w:t>
      </w:r>
    </w:p>
    <w:p>
      <w:pPr>
        <w:spacing w:line="580" w:lineRule="exact"/>
        <w:ind w:firstLine="640"/>
        <w:jc w:val="both"/>
      </w:pPr>
      <w:r>
        <w:rPr>
          <w:rFonts w:ascii="仿宋_GB2312" w:hAnsi="仿宋_GB2312" w:eastAsia="仿宋_GB2312"/>
          <w:b w:val="0"/>
          <w:sz w:val="32"/>
        </w:rPr>
        <w:t>根据预算绩效管理要求，本单位2025年度预算绩效管理形成整体支出绩效自评表1个，全年预算总额847.19万元，实际执行总额816.49万元；预算绩效评价项目8个，全年预算数237.53万元，全年执行数235.15万元。预算绩效管理取得的成效：一是发挥法律顾问在政策制定和信访调解中作用，结合“法治为民办实事”活动，发挥“一站一委”作用，推行“老班长”工作室、“老兵驿站”服务品牌建立，持续开展“为退役军人排忧解难”活动；二是聚焦退役军人及优抚对象“急难愁盼”问题，在春节、“八一”等节点及日常对所辖困难退役军人、烈士遗属、重点优抚对象等全覆盖走访慰问；三是开展“情暖老兵”关爱帮扶行动，在生活、医疗、住房等方面帮扶援助；四是联合人社部门组织区域招聘会，持续开展民营企业招聘月、金秋招聘月活动，指导各县（市）开展不少于2场退役军人（军属）专场招聘会；五是充分发挥退役军人企业联合会作用，促进退役军人充分就业；六是全面落实军休养老政策，开展“服务保障提质行动”。落实定人包户、健康体检、荣誉疗养等制度，提升服务质量水平，推进军休机构建设提质升级。发现的问题及原因：一是一方面运用法治思维待来信来访、化解矛盾纠纷的能力还不够强。另一方面对如何将退役军人力资源转化为推动经济社会发展的人才资源思考的还不够深，干部的履职能力和适应新形势下团结引领退役军人安置工作能力还有待提高，干部队伍素质还需进一步提升；二是项目绩效业务水平不高，填报标准把握不准，导致部门绩效指标填报不合理。绩效指标的明确性、可衡量性、相关性还需进一步提升。预算精细化管理还需完善，预算编制管理水平仍有进一步提升的空间；三是业务人员绩效管理意识有待增强，未能全面深入认识理解绩效管理工作的意义。绩效管理经验不足，预算绩效管理工作有待进一步落实。下一步改进措施：一是高度重视财政预决算工作，加强预算的约束力；二是加强内部管理，严格执行预算，坚持厉行节约，进一步降低财务支出；三是严格财务管理，提高工作效率；四是加大绩效工作宣传力度，强化绩效理念，强化业务人员整体素质；五是加强对绩效的管理培训工作，设置目标时考虑目标的可实现，尽量做到目标的细化量化、明确清晰；六是完善绩效指标，提高整体绩效目标质量。提升预算精细化管理水平。具体附整体支出绩效自评表、项目支出绩效自评表及项目支出绩效评价报告。</w:t>
      </w:r>
    </w:p>
    <w:p>
      <w:r>
        <w:br w:type="page"/>
      </w:r>
    </w:p>
    <w:tbl>
      <w:tblPr>
        <w:tblW w:type="pct" w:w="5000"/>
        <w:tblLayout w:type="fixed"/>
        <w:tblLook w:firstColumn="1" w:firstRow="1" w:lastColumn="0" w:lastRow="0" w:noHBand="0" w:noVBand="1" w:val="04A0"/>
        <w:tblCellMar>
          <w:top w:w="36" w:type="dxa"/>
          <w:left w:w="36" w:type="dxa"/>
          <w:bottom w:w="36" w:type="dxa"/>
          <w:right w:w="36" w:type="dxa"/>
        </w:tblCellMar>
      </w:tblPr>
      <w:tblGrid>
        <w:gridCol w:w="477"/>
        <w:gridCol w:w="1187"/>
        <w:gridCol w:w="1256"/>
        <w:gridCol w:w="1226"/>
        <w:gridCol w:w="994"/>
        <w:gridCol w:w="1032"/>
        <w:gridCol w:w="794"/>
        <w:gridCol w:w="935"/>
        <w:gridCol w:w="942"/>
      </w:tblGrid>
      <w:tr>
        <w:trPr>
          <w:trHeight w:val="522" w:hRule="atLeast"/>
          <w:cantSplit/>
        </w:trPr>
        <w:tc>
          <w:tcPr>
            <w:tcW w:type="dxa" w:w="983"/>
            <w:gridSpan w:val="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部门（单位）整体支出绩效目标自评表</w:t>
            </w:r>
          </w:p>
        </w:tc>
      </w:tr>
      <w:tr>
        <w:trPr>
          <w:trHeight w:val="360" w:hRule="atLeast"/>
          <w:cantSplit/>
        </w:trPr>
        <w:tc>
          <w:tcPr>
            <w:tcW w:type="dxa" w:w="983"/>
            <w:gridSpan w:val="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660" w:hRule="atLeast"/>
          <w:cantSplit/>
        </w:trPr>
        <w:tc>
          <w:tcPr>
            <w:tcW w:type="dxa" w:w="98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部门（单位）名称</w:t>
            </w:r>
          </w:p>
        </w:tc>
        <w:tc>
          <w:tcPr>
            <w:tcW w:type="dxa" w:w="98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昌吉回族自治州退役军人事务局</w:t>
            </w:r>
          </w:p>
        </w:tc>
      </w:tr>
      <w:tr>
        <w:trPr>
          <w:trHeight w:val="570" w:hRule="atLeast"/>
          <w:cantSplit/>
        </w:trPr>
        <w:tc>
          <w:tcPr>
            <w:tcW w:type="dxa" w:w="98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部门资金（万元）</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资金来源</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年初预算数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全年预算数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全年执行数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分值权重</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执行率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得分</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上级资金</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7.07</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115.42</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115.42</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本级资金</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493.73</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643.47</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643.47</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其他资金</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29.30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88.30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57.60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合计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530.10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847.19</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816.49</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96.38%</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9.6</w:t>
            </w:r>
          </w:p>
        </w:tc>
      </w:tr>
      <w:tr>
        <w:trPr>
          <w:trHeight w:val="705" w:hRule="atLeast"/>
          <w:cantSplit/>
        </w:trPr>
        <w:tc>
          <w:tcPr>
            <w:tcW w:type="dxa" w:w="98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年度总体目标</w:t>
            </w:r>
          </w:p>
        </w:tc>
        <w:tc>
          <w:tcPr>
            <w:tcW w:type="dxa" w:w="983"/>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预期目标</w:t>
            </w:r>
          </w:p>
        </w:tc>
        <w:tc>
          <w:tcPr>
            <w:tcW w:type="dxa" w:w="98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实际完成情况</w:t>
            </w:r>
          </w:p>
        </w:tc>
      </w:tr>
      <w:tr>
        <w:trPr>
          <w:trHeight w:val="2000" w:hRule="atLeast"/>
        </w:trPr>
        <w:tc>
          <w:tcPr>
            <w:tcW w:type="dxa" w:w="983"/>
            <w:gridSpan w:val="2"/>
            <w:vMerge/>
            <w:tcBorders>
              <w:start w:sz="10" w:val="single"/>
              <w:top w:sz="10" w:val="single"/>
              <w:end w:sz="10" w:val="single"/>
              <w:bottom w:sz="10" w:val="single"/>
              <w:insideV w:sz="10" w:val="single"/>
            </w:tcBorders>
          </w:tcPr>
          <w:p/>
        </w:tc>
        <w:tc>
          <w:tcPr>
            <w:tcW w:type="dxa" w:w="983"/>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退役军人事务局负责退役军人思想政治、服务管理、移交安置、教育培训、就业创业、优待抚恤、褒扬纪念、双拥共建等退役军人事务领域服务性、保障性、事务性工作。为了加强退役军人先进事迹的宣传，弘扬爱国主义精神、革命英雄主义精神和退役军人敬业奉献精神，优化退役军人服务流程，提升服务效率和质量。加强退役军人信息化建设，完善退役军人信息数据库。开展退役军人职业技能培训和就业指导，帮助退役军人更好地融入社会。</w:t>
            </w:r>
          </w:p>
        </w:tc>
        <w:tc>
          <w:tcPr>
            <w:tcW w:type="dxa" w:w="98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 年我单位全年预算数为847.17万元，全年执行数为816.48万元，总预算执行率为 96.38%。2025 年我单位完成以下工作内容：1.补助部分退役士兵养老保险；2.缴纳自主择业军转干部医疗保险；3.开展双拥活动；4.开展退役军人宣传活动；5.春节慰问退役军人。通过以上工作的实施，提高全社会的国防意识和爱国情感，巩固发展军政军民团结，增进相互理解和支持，为经济社会发展创造和谐稳定的环境。</w:t>
            </w:r>
          </w:p>
        </w:tc>
      </w:tr>
      <w:tr>
        <w:trPr>
          <w:trHeight w:val="580" w:hRule="atLeast"/>
          <w:cantSplit/>
        </w:trPr>
        <w:tc>
          <w:tcPr>
            <w:tcW w:type="dxa" w:w="983"/>
            <w:gridSpan w:val="2"/>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一级指标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二级指标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三级指标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预期指标值</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指标值设定依据</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分值权重</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实际完成指标值</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得分</w:t>
            </w:r>
          </w:p>
        </w:tc>
      </w:tr>
      <w:tr>
        <w:trPr>
          <w:trHeight w:val="740" w:hRule="atLeast"/>
          <w:cantSplit/>
        </w:trPr>
        <w:tc>
          <w:tcPr>
            <w:tcW w:type="dxa" w:w="98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履职效能</w:t>
            </w:r>
          </w:p>
        </w:tc>
        <w:tc>
          <w:tcPr>
            <w:tcW w:type="dxa" w:w="98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补助部分退役士兵养老保险人数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=15人</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中央拨付自主择业军转干部补助经费的通知</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15人</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自主择业军转干部缴医疗保险人数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=52人</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《关于加强自主择业军队专业干部管理服务工作通知》</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25</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54人</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25</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开展双拥活动</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&gt;=4次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昌吉州退役局2025年工作计划、《关于加强自主择业军队专业干部管理服务工作通知》</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开展退役军人宣传活动</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昌吉州退役局2025年工作计划</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春节慰问退役军人次数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昌吉州退役局2025年工作计划、“情暖老兵 关爱帮扶”活动方案</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w:t>
            </w:r>
          </w:p>
        </w:tc>
      </w:tr>
    </w:tbl>
    <w:p>
      <w:r>
        <w:br w:type="page"/>
      </w:r>
    </w:p>
    <w:p>
      <w:pPr>
        <w:sectPr>
          <w:footerReference r:id="rId3" w:type="default"/>
          <w:pgSz w:w="11906" w:h="16838"/>
          <w:pgMar w:top="2098" w:right="1531" w:bottom="1985" w:left="1531" w:header="851" w:footer="992" w:gutter="0"/>
          <w:cols w:space="720" w:num="1"/>
          <w:docGrid w:type="lines" w:linePitch="312" w:charSpace="0"/>
        </w:sectPr>
      </w:pP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2025年自治区自主择业军队转业干部逐月领取退役金退役军人服务管理补助经费</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昌吉回族自治州退役军人事务局</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昌吉回族自治州退役军人事务局</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3.18</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3.18</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3.17</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99.69%</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3.18</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3.18</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3.17</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该项目总费用为3.18万元，自主择业军队转业干部管理服务专项补助经费标准（人均）300元，主动落实自主择业军队转业干部各项待遇，通过经费支持，确保退役金按时足额发放，完善就业创业帮扶体系，解决退役军人实际困难，体现党和政府关怀。</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3.17万元，资金执行率99.69%，本项目实际完成服务自主择业军队转业干部106人，购置1批设备，通过本项目的实施，确保了退役金按时足额发放，完善了就业创业帮扶体系，解决了退役军人实际困难，体现党和政府关怀。</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服务自主择业军队转业干部人数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=106人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=106人</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=106人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设备采购次数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=1批</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设备验收合格率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项目完成时间</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=2025年11月30日前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2025年11月11日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项目成本（万元）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&lt;=3.18万元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=3.17万元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预算成本控制率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11</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=99.69%</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11</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提升退役军人幸福感</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有效提升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自主择业军队转业干部满意度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=96.67%</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101.76%</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已完成，存在偏差，偏差率为1.76%，偏差原因为：我单位在前期设定满意度指标时，为确保项目产出的安全性和底线思维，设定了≥95%的保守目标值，故与实际完成值产生偏差；下一年度改进措施：总结本次项目的成功经验，在编制下一年度绩效目标时，结合实际执行能力，将满意度目标值适当上调，以此倒逼服务质量持续提升。</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双拥工作经费</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昌吉回族自治州退役军人事务局</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昌吉回族自治州退役军人事务局</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41.00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41.00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39.73</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96.90%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41.00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41.00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39.73</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开展双拥活动6次，节假日慰问关爱烈士遗属、困难退役军人、个案救助工作，不定期开展伤残等级鉴定工作。巩固发展军政军民团结，增进相互理解和支持，为竞技社会发展创造和谐稳定的环境。提高退役军人及优抚对象的满意度。</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39.73万元，资金执行率96.9%，本项目实际完成开展双拥慰问活动6次，通过该项目的实施，积极开展社会化拥军，解决了退役军人、军烈属及其他优抚对象“急难愁盼”问题，更好的巩固和发展军政军民团结。</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开展双拥活动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&gt;=6次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活动保障率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慰问完成时间</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2025年8月6日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双拥工作经费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&lt;=9.07万元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=7.8万元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关爱烈士遗属、困难退役军人、个案救助</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&lt;=30.85万元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=30.85万元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伤残等级鉴定</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&lt;=1.08万元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=1.08万元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提升军政军民团结</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有效提升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退役军人及优抚对象满意度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双拥游园建设及退役军人服务保障体系提质增效项目</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昌吉回族自治州退役军人事务局</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昌吉回族自治州退役军人事务局</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29.30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29.30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29.30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29.30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29.30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29.30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通过保障州本级补助资金，并在2025年10月前拨付6县市退役军人服务补助资金，推动退役军人服务站各项工作落实，保障各站点工作开展。</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29.3万元，资金执行率100%，本项目实际完成保障6县市的退役军人服务工作，及州本级退役军人服务工作，按时拨付补助资金，推动退役军人服务站各项工作落实，保障各站点工作开展。</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保障县市退役军人服务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=6县市</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=6县市</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保障州级退役军人服务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=1地州</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=1地州</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保障特色退役军人服务站覆盖率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补助资金拨付时间</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=2025年10月前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2025年7月7日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保障县市退役军人服务资金</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&lt;=23.5万元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=23.5万元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保障州直退役军人服务资金</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&lt;=5.8万元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=5.8万元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推动退役军人服务站各项工作落实，保障各站点工作开展</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推动</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退役军人满意度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111.11%</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此项指标已完成，存在偏差，偏差率为11.11%，偏差原因为： 实际执行效果优异，项目实施过程中，由于组织得力、措施有效，实际服务效果超出了原定的保守预期，实现了服务对象的全员满意；下一年度改进措施：一是固化优秀服务标准与流程，将本次项目中获得好评的服务流程、操作规范进行标准化梳理，形成《项目服务操作手册》，在今后的同类项目中推广应用，实现服务质量的标准化、常态化。二是完善服务质量监控体系，建立“事前预防、事中控制、事后评价”的全流程质量监控机制。不仅关注最终的满意度结果，更要加强对服务过程的监管，确保服务质量的稳定性。</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宣传工作经费</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昌吉回族自治州退役军人事务局</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昌吉回族自治州退役军人事务局</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56.00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56.00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54.97</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98.16%</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56.00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56.00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54.97</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通过微信公众号运营维护2次，融媒体中心合作宣传2次，开展双拥共建和褒扬纪念观摩活动1次。及时开展退役军人宣传工作，加强退役军人先进事迹的宣传，弘扬爱国主义精神、革命英雄主义精神和退役军人敬业奉献精神。</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54.97万元，资金执行率98.16%，本项目实际完成制作专题片1次，与融媒体中心合作宣传1次，开展双拥共建和褒扬纪念观摩工作1次，通过本项目的实施，加强了退役军人先进事迹的宣传，弘扬爱国主义精神、革命英雄主义精神和退役军人敬业奉献精神。</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专题片制作次数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融媒体中心合作宣传（次）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开展双拥共建和褒扬纪念观摩工作</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开展双拥共建和褒扬纪念观摩活动完成率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宣传工作完成时限</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2024年12月10日前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网络运营服务费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&lt;=0.885万元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=0.885万元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广告宣传服务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&lt;=41万元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=39万元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95.12%</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5.27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此项指标已完成，存在偏差，偏差率为4.88%，偏差原因为： 我单位采用公开招标与竞争性谈判相结合的方式，引入了多家供应商竞争，大幅压低了宣传费用单价；下一年度改进措施：在项目实施前，进行更充分的可行性研究和历史数据分析，避免目标设定过于保守或脱离实际，确保绩效目标的科学性和先进性。</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专题片制作费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&lt;=7万元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政策宣传、条例印制</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&lt;=4万元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开展双拥共建和褒扬纪念观摩费用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&lt;=3.115万元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=4.085万元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131.14%</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1.38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此项指标已完成，存在偏差，偏差率为31.14%，偏差原因为： 我单位采用在开展纪念观摩时增加了参战老兵口述历史展播内容，故资金超出预算；下一年度改进措施：在项目实施前，进行更充分的可行性研究和历史数据分析，避免目标设定过于保守或脱离实际，确保绩效目标的科学性和先进性。</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提高尊崇军人的社会环境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提高</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群众满意度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=95%</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98.65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州退役局2025年退役军人就业创业补助资金</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昌吉回族自治州退役军人事务局</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昌吉回族自治州退役军人事务局</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20.64</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20.64</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20.64</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20.64</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20.64</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20.64</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本项目2025年计划投入资金20.64万元，项目计划完成给予一次性创业补贴退役军人人数12人，每人补贴10000元，合计12万元；给予一次性房租补贴退役军人人数10人，每人补贴6000元，合计6万元，组织送政策进军营活动2次，组织退役军人专场招聘会1场次；役军人就业创业园地打造1个；通过项目补贴准确发放，及各项活动开展达到提升对退役军人的服务能力，提升退役军人获得感、荣誉感的项目成果。</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20.64万元，资金执行率100%，本项目实际完成发放一次性创业补贴12人、房租补贴10人，组织送政策进军营活动2次，组织退役军人专场招聘会2场，打造退役军人就业创业园地1个。通过本项目的实施，各项补贴准确发放到位，各项活动的开展提升了对退役军人的服务能力，提高了退役军人获得感、荣誉感的项目成果。</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享受一次性创业补贴人数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&gt;=12人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=12人</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享受房租补贴人数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&gt;=10人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=10人</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组织送政策进军营活动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组织退役军人专场招聘会</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=1场</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退役军人就业创业园地打造</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=1个</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=1个</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补贴发放准确率（%）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各项工作完成及时率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一次性创业补贴标准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&lt;=10000元/人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=10000元/人</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房租补贴标准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&lt;=6000元/人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=6000元/人</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退役军人就业创业工作经费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&lt;=2.64万元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=2.64万元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提升对退役军人的服务能力</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有效提升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提升退役军人获得感、荣誉感</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有效提升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受益退役军人满意度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105.26%</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已完成，存在偏差，偏差率为5.26%，偏差原因为：我单位在前期设定满意度指标时，为确保项目产出的安全性和底线思维，设定了≥95%的保守目标值，故与实际完成值产生偏差；下一年度改进措施：总结本次项目的成功经验，在编制下一年度绩效目标时，结合实际执行能力，将满意度目标值适当上调，以此倒逼服务质量持续提升。</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机关运行补助经费</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昌吉回族自治州退役军人事务局</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昌吉回族自治州退役军人事务局</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17.00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24.81</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24.74</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99.72%</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17.00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24.81</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24.74</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根据本单位办公人数，及时合规采购办公用品，保障单位正常运转。根据单位工作需要开展调研工作，赴疆外开展培训工作，保障部门单位运转正常，调动职工工作积极性，提高工作效率。</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截至2025年12月31日，本项目支出资金24.74万元，资金执行率99.72%，本项目实际完成保障办公人员13人，管道维修1次，通过本项目的实施，保障部门单位运转正常，调动职工工作积极性，提高了工作效率。</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保障办公人员数量</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=13人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=13人</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办公用品采购完成率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管道维修</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办公用品政府采购率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维修验收合格率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经费支付及时率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差旅费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&lt;=3.97万元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=3.97万元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办公费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&lt;=4.20万元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=4.2万元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委托业务费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&lt;=2.60万元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=2.6万元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其他运行费用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&lt;=1.58万元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=1.58万元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维修成本</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&lt;=12.47万元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=12.39万元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此项指标已完成，存在偏差，偏差率为0.64%，偏差原因为： 我单位采用公开招标与竞争性谈判相结合的方式，引入了多家供应商竞争，大幅压低了维修成本；下一年度改进措施：在项目实施前，进行更充分的可行性研究和历史数据分析，避免目标设定过于保守或脱离实际，确保绩效目标的科学性和先进性。</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保障部门单位运转正常，提高工作效率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有效保障</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办公人员满意度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111.11%</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已完成，存在偏差，偏差率为11.11%，偏差原因为：我单位在前期设定满意度指标时，为确保项目产出的安全性和底线思维，设定了≥90%的保守目标值，故与实际完成值产生偏差；下一年度改进措施：总结本次项目的成功经验，在编制下一年度绩效目标时，结合实际执行能力，将满意度目标值适当上调，以此倒逼服务质量持续提升。</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退役局追加单位资金收支预算-智惠闽昌</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昌吉回族自治州退役军人事务局</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昌吉回族自治州退役军人事务局</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18.82</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28.30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28.30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18.82</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28.30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28.30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目共计28.304万元，开展闽昌交流学习培训1次，其中：食宿场地费13.23万元，教学相关费用5.58万元；开展“丝路同源·山海交响”八闽烈士亲友赴昌宣讲活动1次时间6天，宣讲活动成本9.484万元。通过培训宣讲等活动加强交流沟通、互相学习借鉴、共同进步提升，锻造出一支素质高、能力强的退役军人系统干部队伍，推动昌吉州退役军人工作迈上新台阶。</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28.3万元，资金执行率100%，本项目实际完成闽昌交流学习培训1次，开展“丝路同源·山海交响”八闽烈士亲友赴昌宣讲活动1次时间6天。通过该项目的实施，提高了退役军人的获得感、荣誉感和成就感。通过组织培训班，进一步提升退役军人工作者的工作能力和素质，更好地为广大退役军人服务，在全社会营造尊崇军人职业、尊重退役军人的浓厚氛围。</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培训次数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开展“丝路同源·山海交响”八闽烈士亲友赴昌宣讲活动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宣讲活动开展时间</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=6天</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=6天</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培训工作保障率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宣传培训工作开展完成时间</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2025年12月9日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食宿场地费用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&lt;=13.23万元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=13.23万元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教学相关费用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&lt;=5.58万元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=5.58万元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宣讲活动成本</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&lt;=9.48万元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=9.48万元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增强拥军氛围</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有效增强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参训人员满意度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=99%</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104.21%</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已完成，存在偏差，偏差率为4.21%，偏差原因为：我单位在前期设定参训人员满意度指标时，为确保项目产出的安全性和底线思维，设定了保守目标值，故与实际完成值产生偏差；下一年度改进措施：在项目实施前，进行更充分的可行性研究和历史数据分析，避免目标设定过于保守或脱离实际，确保绩效目标的科学性和先进性。</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退役局追加春节、八一慰问经费</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昌吉回族自治州退役军人事务局</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昌吉回族自治州退役军人事务局</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34.30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34.30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34.30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34.30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34.30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34.30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本项目计划支出34.3万元，在春节前夕对在昌省级老干部和自治州厅级老干部63人，开展走访慰问送温暖活动。“八一”期间等特殊时期，对优抚对象开展送温暖活动。此活动总费用为34.3万元，慰问人次为11人，开展慰问活动2次，春节慰问经费为3.5万元，“八一”慰问经费为30.8万元，通过开展慰问送温暖活动，有效弘扬双拥优良传统，巩固发展军政军民团结。</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34.3万元，资金执行率100%，本项目实际完成该项目实际完成慰问人次为11人，开展慰问活动2次。通过开展慰问送温暖活动，有效弘扬双拥优良传统，巩固发展军政军民团结。通过该项目的实施，提高全社会的国防意识和爱国情感，巩固发展军政军民团结，增进相互理解和支持，为经济社会发展创造和谐稳定的环境。</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慰问优抚对象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&gt;=11人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=11人</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慰问次数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慰问经费保障率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项目完成时间</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2025年12月2日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春节慰问金额</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&lt;=3.5万元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=3.5万元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预算支出标准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“八一”慰问金额</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&lt;=30.8万元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=30.8万元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预算支出标准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弘扬双拥优良传统，巩固发展军政军民团结</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军人军属及优抚对象满意度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p>
      <w:pPr>
        <w:sectPr>
          <w:type w:val="continuous"/>
          <w:pgSz w:w="11906" w:h="16838"/>
          <w:pgMar w:top="1440" w:right="1800" w:bottom="1440" w:left="1800" w:header="851" w:footer="992" w:gutter="0"/>
          <w:cols w:space="720" w:num="1"/>
          <w:docGrid w:type="lines" w:linePitch="312" w:charSpace="0"/>
        </w:sectPr>
      </w:pPr>
    </w:p>
    <w:p>
      <w:pPr>
        <w:spacing w:line="640" w:lineRule="exact"/>
        <w:ind w:firstLine="640"/>
        <w:jc w:val="both"/>
        <w:outlineLvl w:val="2"/>
      </w:pPr>
      <w:r>
        <w:rPr>
          <w:rFonts w:ascii="黑体" w:hAnsi="黑体" w:eastAsia="黑体"/>
          <w:sz w:val="32"/>
        </w:rPr>
        <w:t>十二、其他需说明的事项</w:t>
      </w:r>
    </w:p>
    <w:p>
      <w:pPr>
        <w:spacing w:line="580" w:lineRule="exact"/>
        <w:ind w:firstLine="640"/>
        <w:jc w:val="both"/>
      </w:pPr>
      <w:r>
        <w:rPr>
          <w:rFonts w:ascii="仿宋_GB2312" w:hAnsi="仿宋_GB2312" w:eastAsia="仿宋_GB2312"/>
          <w:b w:val="0"/>
          <w:sz w:val="32"/>
        </w:rPr>
        <w:t>本年本单位其他项目4个，全年预算数270.28万元，全年执行数270.28万元。</w:t>
      </w:r>
    </w:p>
    <w:p>
      <w:r>
        <w:br w:type="page"/>
      </w:r>
    </w:p>
    <w:p>
      <w:pPr>
        <w:spacing w:lineRule="exact" w:line="600"/>
        <w:jc w:val="center"/>
        <w:outlineLvl w:val="0"/>
      </w:pPr>
      <w:r>
        <w:rPr>
          <w:rFonts w:ascii="黑体" w:hAnsi="黑体" w:eastAsia="黑体"/>
          <w:sz w:val="32"/>
        </w:rPr>
        <w:t>第三部分 专业名词解释</w:t>
      </w:r>
    </w:p>
    <w:p>
      <w:pPr>
        <w:spacing w:lineRule="exact" w:line="600"/>
        <w:ind w:firstLine="643" w:firstLineChars="200"/>
        <w:autoSpaceDE w:val="0"/>
        <w:autoSpaceDN w:val="0"/>
      </w:pPr>
      <w:r>
        <w:rPr>
          <w:rFonts w:ascii="仿宋_GB2312" w:hAnsi="仿宋_GB2312" w:eastAsia="仿宋_GB2312"/>
          <w:b/>
          <w:sz w:val="32"/>
        </w:rPr>
        <w:t>一、财政拨款收入：</w:t>
      </w:r>
      <w:r>
        <w:rPr>
          <w:rFonts w:ascii="仿宋_GB2312" w:hAnsi="仿宋_GB2312" w:eastAsia="仿宋_GB2312"/>
          <w:b w:val="0"/>
          <w:sz w:val="32"/>
        </w:rPr>
        <w:t>指单位本年度从同级财政部门取得的财政拨款，包括一般公共预算财政拨款、政府性基金预算财政拨款和国有资本经营预算财政拨款。</w:t>
      </w:r>
    </w:p>
    <w:p>
      <w:pPr>
        <w:spacing w:lineRule="exact" w:line="600"/>
        <w:ind w:firstLine="643" w:firstLineChars="200"/>
        <w:autoSpaceDE w:val="0"/>
        <w:autoSpaceDN w:val="0"/>
      </w:pPr>
      <w:r>
        <w:rPr>
          <w:rFonts w:ascii="仿宋_GB2312" w:hAnsi="仿宋_GB2312" w:eastAsia="仿宋_GB2312"/>
          <w:b/>
          <w:sz w:val="32"/>
        </w:rPr>
        <w:t>二、上级补助收入：</w:t>
      </w:r>
      <w:r>
        <w:rPr>
          <w:rFonts w:ascii="仿宋_GB2312" w:hAnsi="仿宋_GB2312" w:eastAsia="仿宋_GB2312"/>
          <w:b w:val="0"/>
          <w:sz w:val="32"/>
        </w:rPr>
        <w:t>指事业单位从主管部门和上级单位取得的非财政补助收入。</w:t>
      </w:r>
    </w:p>
    <w:p>
      <w:pPr>
        <w:spacing w:lineRule="exact" w:line="600"/>
        <w:ind w:firstLine="643" w:firstLineChars="200"/>
        <w:autoSpaceDE w:val="0"/>
        <w:autoSpaceDN w:val="0"/>
      </w:pPr>
      <w:r>
        <w:rPr>
          <w:rFonts w:ascii="仿宋_GB2312" w:hAnsi="仿宋_GB2312" w:eastAsia="仿宋_GB2312"/>
          <w:b/>
          <w:sz w:val="32"/>
        </w:rPr>
        <w:t>三、事业收入：</w:t>
      </w:r>
      <w:r>
        <w:rPr>
          <w:rFonts w:ascii="仿宋_GB2312" w:hAnsi="仿宋_GB2312" w:eastAsia="仿宋_GB2312"/>
          <w:b w:val="0"/>
          <w:sz w:val="32"/>
        </w:rPr>
        <w:t>指事业单位开展专业业务活动及其辅助活动取得的收入。</w:t>
      </w:r>
    </w:p>
    <w:p>
      <w:pPr>
        <w:spacing w:lineRule="exact" w:line="600"/>
        <w:ind w:firstLine="643" w:firstLineChars="200"/>
        <w:autoSpaceDE w:val="0"/>
        <w:autoSpaceDN w:val="0"/>
      </w:pPr>
      <w:r>
        <w:rPr>
          <w:rFonts w:ascii="仿宋_GB2312" w:hAnsi="仿宋_GB2312" w:eastAsia="仿宋_GB2312"/>
          <w:b/>
          <w:sz w:val="32"/>
        </w:rPr>
        <w:t>四、经营收入：</w:t>
      </w:r>
      <w:r>
        <w:rPr>
          <w:rFonts w:ascii="仿宋_GB2312" w:hAnsi="仿宋_GB2312" w:eastAsia="仿宋_GB2312"/>
          <w:b w:val="0"/>
          <w:sz w:val="32"/>
        </w:rPr>
        <w:t>指事业单位在专业业务活动及其辅助活动之外开展非独立核算经营活动取得的收入。</w:t>
      </w:r>
    </w:p>
    <w:p>
      <w:pPr>
        <w:spacing w:lineRule="exact" w:line="600"/>
        <w:ind w:firstLine="643" w:firstLineChars="200"/>
        <w:autoSpaceDE w:val="0"/>
        <w:autoSpaceDN w:val="0"/>
      </w:pPr>
      <w:r>
        <w:rPr>
          <w:rFonts w:ascii="仿宋_GB2312" w:hAnsi="仿宋_GB2312" w:eastAsia="仿宋_GB2312"/>
          <w:b/>
          <w:sz w:val="32"/>
        </w:rPr>
        <w:t>五、附属单位上缴收入：</w:t>
      </w:r>
      <w:r>
        <w:rPr>
          <w:rFonts w:ascii="仿宋_GB2312" w:hAnsi="仿宋_GB2312" w:eastAsia="仿宋_GB2312"/>
          <w:b w:val="0"/>
          <w:sz w:val="32"/>
        </w:rPr>
        <w:t>指事业单位附属独立核算单位按照有关规定上缴的收入。</w:t>
      </w:r>
    </w:p>
    <w:p>
      <w:pPr>
        <w:spacing w:lineRule="exact" w:line="600"/>
        <w:ind w:firstLine="643" w:firstLineChars="200"/>
        <w:autoSpaceDE w:val="0"/>
        <w:autoSpaceDN w:val="0"/>
      </w:pPr>
      <w:r>
        <w:rPr>
          <w:rFonts w:ascii="仿宋_GB2312" w:hAnsi="仿宋_GB2312" w:eastAsia="仿宋_GB2312"/>
          <w:b/>
          <w:sz w:val="32"/>
        </w:rPr>
        <w:t>六、其他收入：</w:t>
      </w:r>
      <w:r>
        <w:rPr>
          <w:rFonts w:ascii="仿宋_GB2312" w:hAnsi="仿宋_GB2312" w:eastAsia="仿宋_GB2312"/>
          <w:b w:val="0"/>
          <w:sz w:val="32"/>
        </w:rPr>
        <w:t>指单位取得的除上述“财政拨款收入”“上级补助收入”“事业收入”“经营收入”“附属单位上缴收入”以外的各项收入。</w:t>
      </w:r>
    </w:p>
    <w:p>
      <w:pPr>
        <w:spacing w:lineRule="exact" w:line="600"/>
        <w:ind w:firstLine="643" w:firstLineChars="200"/>
        <w:autoSpaceDE w:val="0"/>
        <w:autoSpaceDN w:val="0"/>
      </w:pPr>
      <w:r>
        <w:rPr>
          <w:rFonts w:ascii="仿宋_GB2312" w:hAnsi="仿宋_GB2312" w:eastAsia="仿宋_GB2312"/>
          <w:b/>
          <w:sz w:val="32"/>
        </w:rPr>
        <w:t>七、年初结转和结余：</w:t>
      </w:r>
      <w:r>
        <w:rPr>
          <w:rFonts w:ascii="仿宋_GB2312" w:hAnsi="仿宋_GB2312" w:eastAsia="仿宋_GB2312"/>
          <w:b w:val="0"/>
          <w:sz w:val="32"/>
        </w:rPr>
        <w:t>指单位上年结转本年使用的基本支出结转、项目支出结转和结余、经营结余。</w:t>
      </w:r>
    </w:p>
    <w:p>
      <w:pPr>
        <w:spacing w:lineRule="exact" w:line="600"/>
        <w:ind w:firstLine="643" w:firstLineChars="200"/>
        <w:autoSpaceDE w:val="0"/>
        <w:autoSpaceDN w:val="0"/>
      </w:pPr>
      <w:r>
        <w:rPr>
          <w:rFonts w:ascii="仿宋_GB2312" w:hAnsi="仿宋_GB2312" w:eastAsia="仿宋_GB2312"/>
          <w:b/>
          <w:sz w:val="32"/>
        </w:rPr>
        <w:t>八、使用非财政拨款结余（含专用结余）：</w:t>
      </w:r>
      <w:r>
        <w:rPr>
          <w:rFonts w:ascii="仿宋_GB2312" w:hAnsi="仿宋_GB2312" w:eastAsia="仿宋_GB2312"/>
          <w:b w:val="0"/>
          <w:sz w:val="32"/>
        </w:rPr>
        <w:t>指单位按照预算管理要求使用非财政拨款结余弥补收支差额的金额，以及使用专用结余安排支出的金额。</w:t>
      </w:r>
    </w:p>
    <w:p>
      <w:pPr>
        <w:spacing w:lineRule="exact" w:line="600"/>
        <w:ind w:firstLine="643" w:firstLineChars="200"/>
        <w:autoSpaceDE w:val="0"/>
        <w:autoSpaceDN w:val="0"/>
      </w:pPr>
      <w:r>
        <w:rPr>
          <w:rFonts w:ascii="仿宋_GB2312" w:hAnsi="仿宋_GB2312" w:eastAsia="仿宋_GB2312"/>
          <w:b/>
          <w:sz w:val="32"/>
        </w:rPr>
        <w:t>九、结余分配：</w:t>
      </w:r>
      <w:r>
        <w:rPr>
          <w:rFonts w:ascii="仿宋_GB2312" w:hAnsi="仿宋_GB2312" w:eastAsia="仿宋_GB2312"/>
          <w:b w:val="0"/>
          <w:sz w:val="32"/>
        </w:rPr>
        <w:t>指单位缴纳企业所得税以及从非财政拨款结余或经营结余中提取各类结余的情况。</w:t>
      </w:r>
    </w:p>
    <w:p>
      <w:pPr>
        <w:spacing w:lineRule="exact" w:line="600"/>
        <w:ind w:firstLine="643" w:firstLineChars="200"/>
        <w:autoSpaceDE w:val="0"/>
        <w:autoSpaceDN w:val="0"/>
      </w:pPr>
      <w:r>
        <w:rPr>
          <w:rFonts w:ascii="仿宋_GB2312" w:hAnsi="仿宋_GB2312" w:eastAsia="仿宋_GB2312"/>
          <w:b/>
          <w:sz w:val="32"/>
        </w:rPr>
        <w:t>十、年末结转和结余：</w:t>
      </w:r>
      <w:r>
        <w:rPr>
          <w:rFonts w:ascii="仿宋_GB2312" w:hAnsi="仿宋_GB2312" w:eastAsia="仿宋_GB2312"/>
          <w:b w:val="0"/>
          <w:sz w:val="32"/>
        </w:rPr>
        <w:t>指单位结转下年的基本支出结转、项目支出结转和结余、经营结余。</w:t>
      </w:r>
    </w:p>
    <w:p>
      <w:pPr>
        <w:spacing w:lineRule="exact" w:line="600"/>
        <w:ind w:firstLine="643" w:firstLineChars="200"/>
        <w:autoSpaceDE w:val="0"/>
        <w:autoSpaceDN w:val="0"/>
      </w:pPr>
      <w:r>
        <w:rPr>
          <w:rFonts w:ascii="仿宋_GB2312" w:hAnsi="仿宋_GB2312" w:eastAsia="仿宋_GB2312"/>
          <w:b/>
          <w:sz w:val="32"/>
        </w:rPr>
        <w:t>十一、基本支出：</w:t>
      </w:r>
      <w:r>
        <w:rPr>
          <w:rFonts w:ascii="仿宋_GB2312" w:hAnsi="仿宋_GB2312" w:eastAsia="仿宋_GB2312"/>
          <w:b w:val="0"/>
          <w:sz w:val="32"/>
        </w:rPr>
        <w:t>指单位为保障机构正常运转、完成日常工作任务而发生的各项支出。</w:t>
      </w:r>
    </w:p>
    <w:p>
      <w:pPr>
        <w:spacing w:lineRule="exact" w:line="600"/>
        <w:ind w:firstLine="643" w:firstLineChars="200"/>
        <w:autoSpaceDE w:val="0"/>
        <w:autoSpaceDN w:val="0"/>
      </w:pPr>
      <w:r>
        <w:rPr>
          <w:rFonts w:ascii="仿宋_GB2312" w:hAnsi="仿宋_GB2312" w:eastAsia="仿宋_GB2312"/>
          <w:b/>
          <w:sz w:val="32"/>
        </w:rPr>
        <w:t>十二、项目支出：</w:t>
      </w:r>
      <w:r>
        <w:rPr>
          <w:rFonts w:ascii="仿宋_GB2312" w:hAnsi="仿宋_GB2312" w:eastAsia="仿宋_GB2312"/>
          <w:b w:val="0"/>
          <w:sz w:val="32"/>
        </w:rPr>
        <w:t>指单位为完成特定的行政工作任务或事业发展目标，在基本支出之外发生的各项支出。</w:t>
      </w:r>
    </w:p>
    <w:p>
      <w:pPr>
        <w:spacing w:lineRule="exact" w:line="600"/>
        <w:ind w:firstLine="643" w:firstLineChars="200"/>
        <w:autoSpaceDE w:val="0"/>
        <w:autoSpaceDN w:val="0"/>
      </w:pPr>
      <w:r>
        <w:rPr>
          <w:rFonts w:ascii="仿宋_GB2312" w:hAnsi="仿宋_GB2312" w:eastAsia="仿宋_GB2312"/>
          <w:b/>
          <w:sz w:val="32"/>
        </w:rPr>
        <w:t>十三、上缴上级支出：</w:t>
      </w:r>
      <w:r>
        <w:rPr>
          <w:rFonts w:ascii="仿宋_GB2312" w:hAnsi="仿宋_GB2312" w:eastAsia="仿宋_GB2312"/>
          <w:b w:val="0"/>
          <w:sz w:val="32"/>
        </w:rPr>
        <w:t>指事业单位按照财政部门和主管部门的规定上缴上级单位的支出。</w:t>
      </w:r>
    </w:p>
    <w:p>
      <w:pPr>
        <w:spacing w:lineRule="exact" w:line="600"/>
        <w:ind w:firstLine="643" w:firstLineChars="200"/>
        <w:autoSpaceDE w:val="0"/>
        <w:autoSpaceDN w:val="0"/>
      </w:pPr>
      <w:r>
        <w:rPr>
          <w:rFonts w:ascii="仿宋_GB2312" w:hAnsi="仿宋_GB2312" w:eastAsia="仿宋_GB2312"/>
          <w:b/>
          <w:sz w:val="32"/>
        </w:rPr>
        <w:t>十四、经营支出：</w:t>
      </w:r>
      <w:r>
        <w:rPr>
          <w:rFonts w:ascii="仿宋_GB2312" w:hAnsi="仿宋_GB2312" w:eastAsia="仿宋_GB2312"/>
          <w:b w:val="0"/>
          <w:sz w:val="32"/>
        </w:rPr>
        <w:t>指事业单位在专业活动及辅助活动之外开展非独立核算经营活动发生的支出。</w:t>
      </w:r>
    </w:p>
    <w:p>
      <w:pPr>
        <w:spacing w:lineRule="exact" w:line="600"/>
        <w:ind w:firstLine="643" w:firstLineChars="200"/>
        <w:autoSpaceDE w:val="0"/>
        <w:autoSpaceDN w:val="0"/>
      </w:pPr>
      <w:r>
        <w:rPr>
          <w:rFonts w:ascii="仿宋_GB2312" w:hAnsi="仿宋_GB2312" w:eastAsia="仿宋_GB2312"/>
          <w:b/>
          <w:sz w:val="32"/>
        </w:rPr>
        <w:t>十五、对附属单位补助支出：</w:t>
      </w:r>
      <w:r>
        <w:rPr>
          <w:rFonts w:ascii="仿宋_GB2312" w:hAnsi="仿宋_GB2312" w:eastAsia="仿宋_GB2312"/>
          <w:b w:val="0"/>
          <w:sz w:val="32"/>
        </w:rPr>
        <w:t>指事业单位用财政补助收入之外的收入对附属单位补助发生的支出。</w:t>
      </w:r>
    </w:p>
    <w:p>
      <w:pPr>
        <w:spacing w:lineRule="exact" w:line="600"/>
        <w:ind w:firstLine="643" w:firstLineChars="200"/>
        <w:autoSpaceDE w:val="0"/>
        <w:autoSpaceDN w:val="0"/>
      </w:pPr>
      <w:r>
        <w:rPr>
          <w:rFonts w:ascii="仿宋_GB2312" w:hAnsi="仿宋_GB2312" w:eastAsia="仿宋_GB2312"/>
          <w:b/>
          <w:sz w:val="32"/>
        </w:rPr>
        <w:t>十六、“三公”经费：</w:t>
      </w:r>
      <w:r>
        <w:rPr>
          <w:rFonts w:ascii="仿宋_GB2312" w:hAnsi="仿宋_GB2312" w:eastAsia="仿宋_GB2312"/>
          <w:b w:val="0"/>
          <w:sz w:val="32"/>
        </w:rPr>
        <w:t>指单位使用财政拨款安排的因公出国（境）费用、公务用车购置及运行维护费和公务接待费。其中，因公出国（境）费用反映单位公务出国（境）的国际旅费、国外城市间交通费、住宿费、伙食费、培训费、公杂费等支出；公务用车购置费反映公务用车购置支出（含车辆购置税、牌照费）；公务用车运行维护费反映单位按规定保留的公务用车燃料费、新能源汽车充电费、维修费、过路过桥费、保险费、安全奖励费用等支出；公务接待费反映单位按规定开支的各类公务接待（含外宾接待）费用。</w:t>
      </w:r>
    </w:p>
    <w:p>
      <w:pPr>
        <w:spacing w:lineRule="exact" w:line="600"/>
        <w:ind w:firstLine="643" w:firstLineChars="200"/>
        <w:autoSpaceDE w:val="0"/>
        <w:autoSpaceDN w:val="0"/>
      </w:pPr>
      <w:r>
        <w:rPr>
          <w:rFonts w:ascii="仿宋_GB2312" w:hAnsi="仿宋_GB2312" w:eastAsia="仿宋_GB2312"/>
          <w:b/>
          <w:sz w:val="32"/>
        </w:rPr>
        <w:t>十七、机关运行经费：</w:t>
      </w:r>
      <w:r>
        <w:rPr>
          <w:rFonts w:ascii="仿宋_GB2312" w:hAnsi="仿宋_GB2312" w:eastAsia="仿宋_GB2312"/>
          <w:b w:val="0"/>
          <w:sz w:val="32"/>
        </w:rPr>
        <w:t>指行政单位和参照公务员法管理的事业单位财政拨款基本支出中的公用经费支出。</w:t>
      </w:r>
    </w:p>
    <w:p>
      <w:r>
        <w:br w:type="page"/>
      </w:r>
    </w:p>
    <w:p>
      <w:pPr>
        <w:spacing w:line="240" w:lineRule="auto"/>
        <w:jc w:val="center"/>
        <w:outlineLvl w:val="1"/>
      </w:pPr>
      <w:r>
        <w:rPr>
          <w:rFonts w:ascii="黑体" w:hAnsi="黑体" w:eastAsia="黑体"/>
          <w:sz w:val="32"/>
        </w:rPr>
        <w:t>第四部分 部门决算报表（见附表）</w:t>
      </w:r>
    </w:p>
    <w:p>
      <w:pPr>
        <w:spacing w:lineRule="exact" w:line="600"/>
        <w:ind w:firstLine="643" w:firstLineChars="200"/>
        <w:autoSpaceDE w:val="0"/>
        <w:autoSpaceDN w:val="0"/>
      </w:pPr>
      <w:r>
        <w:rPr>
          <w:rFonts w:ascii="仿宋_GB2312" w:hAnsi="仿宋_GB2312" w:eastAsia="仿宋_GB2312"/>
          <w:b w:val="0"/>
          <w:sz w:val="32"/>
        </w:rPr>
        <w:t>一、《收入支出决算总表》</w:t>
      </w:r>
    </w:p>
    <w:p>
      <w:pPr>
        <w:spacing w:lineRule="exact" w:line="600"/>
        <w:ind w:firstLine="643" w:firstLineChars="200"/>
        <w:autoSpaceDE w:val="0"/>
        <w:autoSpaceDN w:val="0"/>
      </w:pPr>
      <w:r>
        <w:rPr>
          <w:rFonts w:ascii="仿宋_GB2312" w:hAnsi="仿宋_GB2312" w:eastAsia="仿宋_GB2312"/>
          <w:b w:val="0"/>
          <w:sz w:val="32"/>
        </w:rPr>
        <w:t>二、《收入决算表》</w:t>
      </w:r>
    </w:p>
    <w:p>
      <w:pPr>
        <w:spacing w:lineRule="exact" w:line="600"/>
        <w:ind w:firstLine="643" w:firstLineChars="200"/>
        <w:autoSpaceDE w:val="0"/>
        <w:autoSpaceDN w:val="0"/>
      </w:pPr>
      <w:r>
        <w:rPr>
          <w:rFonts w:ascii="仿宋_GB2312" w:hAnsi="仿宋_GB2312" w:eastAsia="仿宋_GB2312"/>
          <w:b w:val="0"/>
          <w:sz w:val="32"/>
        </w:rPr>
        <w:t>三、《支出决算表》</w:t>
      </w:r>
    </w:p>
    <w:p>
      <w:pPr>
        <w:spacing w:lineRule="exact" w:line="600"/>
        <w:ind w:firstLine="643" w:firstLineChars="200"/>
        <w:autoSpaceDE w:val="0"/>
        <w:autoSpaceDN w:val="0"/>
      </w:pPr>
      <w:r>
        <w:rPr>
          <w:rFonts w:ascii="仿宋_GB2312" w:hAnsi="仿宋_GB2312" w:eastAsia="仿宋_GB2312"/>
          <w:b w:val="0"/>
          <w:sz w:val="32"/>
        </w:rPr>
        <w:t>四、《财政拨款收入支出决算总表》</w:t>
      </w:r>
    </w:p>
    <w:p>
      <w:pPr>
        <w:spacing w:lineRule="exact" w:line="600"/>
        <w:ind w:firstLine="643" w:firstLineChars="200"/>
        <w:autoSpaceDE w:val="0"/>
        <w:autoSpaceDN w:val="0"/>
      </w:pPr>
      <w:r>
        <w:rPr>
          <w:rFonts w:ascii="仿宋_GB2312" w:hAnsi="仿宋_GB2312" w:eastAsia="仿宋_GB2312"/>
          <w:b w:val="0"/>
          <w:sz w:val="32"/>
        </w:rPr>
        <w:t>五、《一般公共预算财政拨款支出决算表》</w:t>
      </w:r>
    </w:p>
    <w:p>
      <w:pPr>
        <w:spacing w:lineRule="exact" w:line="600"/>
        <w:ind w:firstLine="643" w:firstLineChars="200"/>
        <w:autoSpaceDE w:val="0"/>
        <w:autoSpaceDN w:val="0"/>
      </w:pPr>
      <w:r>
        <w:rPr>
          <w:rFonts w:ascii="仿宋_GB2312" w:hAnsi="仿宋_GB2312" w:eastAsia="仿宋_GB2312"/>
          <w:b w:val="0"/>
          <w:sz w:val="32"/>
        </w:rPr>
        <w:t>六、《一般公共预算财政拨款基本支出决算表》</w:t>
      </w:r>
    </w:p>
    <w:p>
      <w:pPr>
        <w:spacing w:lineRule="exact" w:line="600"/>
        <w:ind w:firstLine="643" w:firstLineChars="200"/>
        <w:autoSpaceDE w:val="0"/>
        <w:autoSpaceDN w:val="0"/>
      </w:pPr>
      <w:r>
        <w:rPr>
          <w:rFonts w:ascii="仿宋_GB2312" w:hAnsi="仿宋_GB2312" w:eastAsia="仿宋_GB2312"/>
          <w:b w:val="0"/>
          <w:sz w:val="32"/>
        </w:rPr>
        <w:t>七、《政府性基金预算财政拨款收入支出决算表》</w:t>
      </w:r>
    </w:p>
    <w:p>
      <w:pPr>
        <w:spacing w:lineRule="exact" w:line="600"/>
        <w:ind w:firstLine="643" w:firstLineChars="200"/>
        <w:autoSpaceDE w:val="0"/>
        <w:autoSpaceDN w:val="0"/>
      </w:pPr>
      <w:r>
        <w:rPr>
          <w:rFonts w:ascii="仿宋_GB2312" w:hAnsi="仿宋_GB2312" w:eastAsia="仿宋_GB2312"/>
          <w:b w:val="0"/>
          <w:sz w:val="32"/>
        </w:rPr>
        <w:t>八、《国有资本经营预算财政拨款收入支出决算表》</w:t>
      </w:r>
    </w:p>
    <w:p>
      <w:pPr>
        <w:spacing w:lineRule="exact" w:line="600"/>
        <w:ind w:firstLine="643" w:firstLineChars="200"/>
        <w:autoSpaceDE w:val="0"/>
        <w:autoSpaceDN w:val="0"/>
      </w:pPr>
      <w:r>
        <w:rPr>
          <w:rFonts w:ascii="仿宋_GB2312" w:hAnsi="仿宋_GB2312" w:eastAsia="仿宋_GB2312"/>
          <w:b w:val="0"/>
          <w:sz w:val="32"/>
        </w:rPr>
        <w:t>九、《财政拨款“三公”经费支出决算表》</w:t>
      </w:r>
    </w:p>
    <w:p>
      <w:pPr>
        <w:spacing w:lineRule="exact" w:line="600"/>
        <w:ind w:firstLine="643" w:firstLineChars="200"/>
        <w:autoSpaceDE w:val="0"/>
        <w:autoSpaceDN w:val="0"/>
      </w:pPr>
    </w:p>
    <w:p>
      <w:pPr>
        <w:spacing w:lineRule="exact" w:line="600"/>
        <w:ind w:firstLine="643" w:firstLineChars="200"/>
        <w:autoSpaceDE w:val="0"/>
        <w:autoSpaceDN w:val="0"/>
      </w:pPr>
    </w:p>
    <w:p>
      <w:pPr>
        <w:spacing w:lineRule="exact" w:line="600"/>
        <w:ind w:firstLine="643" w:firstLineChars="200"/>
        <w:autoSpaceDE w:val="0"/>
        <w:autoSpaceDN w:val="0"/>
      </w:pPr>
    </w:p>
    <w:p>
      <w:pPr>
        <w:spacing w:lineRule="exact" w:line="600"/>
        <w:ind w:firstLine="643" w:firstLineChars="200"/>
        <w:autoSpaceDE w:val="0"/>
        <w:autoSpaceDN w:val="0"/>
      </w:pPr>
    </w:p>
    <w:p>
      <w:pPr>
        <w:spacing w:lineRule="exact" w:line="600"/>
        <w:ind w:firstLine="643" w:firstLineChars="200"/>
        <w:autoSpaceDE w:val="0"/>
        <w:autoSpaceDN w:val="0"/>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EA382358-5FB0-4BFB-AA9D-340FD89383CE}"/>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_GBK">
    <w:altName w:val="微软雅黑"/>
    <w:panose1 w:val="00000000000000000000"/>
    <w:charset w:val="86"/>
    <w:family w:val="script"/>
    <w:pitch w:val="default"/>
    <w:sig w:usb0="00000000" w:usb1="00000000" w:usb2="00082016" w:usb3="00000000" w:csb0="00040001" w:csb1="00000000"/>
    <w:embedRegular r:id="rId2" w:fontKey="{B0E6D792-6E8F-4F84-99FA-9970FA3A7C22}"/>
  </w:font>
  <w:font w:name="仿宋_GB2312">
    <w:altName w:val="微软雅黑"/>
    <w:panose1 w:val="02010609030101010101"/>
    <w:charset w:val="86"/>
    <w:family w:val="modern"/>
    <w:pitch w:val="default"/>
    <w:sig w:usb0="00000001" w:usb1="080E0000" w:usb2="00000000" w:usb3="00000000" w:csb0="00040000" w:csb1="00000000"/>
    <w:embedRegular r:id="rId3" w:fontKey="{45C515A8-30E2-40B7-BB08-E73601327DDD}"/>
  </w:font>
  <w:font w:name="微软雅黑">
    <w:panose1 w:val="020B0503020204020204"/>
    <w:charset w:val="86"/>
    <w:family w:val="auto"/>
    <w:pitch w:val="default"/>
    <w:sig w:usb0="80000287" w:usb1="2ACF3C50" w:usb2="00000016" w:usb3="00000000" w:csb0="0004001F" w:csb1="00000000"/>
  </w:font>
  <w:font w:name="KSOF8080F95D">
    <w:panose1 w:val="020B0503020204020204"/>
    <w:charset w:val="86"/>
    <w:family w:val="auto"/>
    <w:pitch w:val="default"/>
    <w:sig w:usb0="00000001" w:usb1="00000000" w:usb2="00000000" w:usb3="00000000" w:csb0="00040001" w:csb1="00000000"/>
  </w:font>
  <w:font w:name="WPSEMBED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1994FD">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06890CC">
                          <w:pPr>
                            <w:pStyle w:val="4"/>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wps:txbx>
                    <wps:bodyPr vert="horz" wrap="none" lIns="0" tIns="0" rIns="0" bIns="0" anchor="t" anchorCtr="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DOqXm5zwAAAAUBAAAPAAAAAAAAAAEAIAAAACIAAABk&#10;cnMvZG93bnJldi54bWxQSwECFAAUAAAACACHTuJA6rY5ptYBAACyAwAADgAAAAAAAAABACAAAAAe&#10;AQAAZHJzL2Uyb0RvYy54bWxQSwUGAAAAAAYABgBZAQAAZgUAAAAA&#10;">
              <v:fill on="f" focussize="0,0"/>
              <v:stroke on="f"/>
              <v:imagedata o:title=""/>
              <o:lock v:ext="edit" aspectratio="f"/>
              <v:textbox inset="0mm,0mm,0mm,0mm" style="mso-fit-shape-to-text:t;">
                <w:txbxContent>
                  <w:p w14:paraId="106890CC">
                    <w:pPr>
                      <w:pStyle w:val="4"/>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DAwYmRmZTlkODBlYWI2MWEzOGMyNWRlOTFmY2QzMTQifQ=="/>
  </w:docVars>
  <w:rsids>
    <w:rsidRoot w:val="00672051"/>
    <w:rsid w:val="000D14C6"/>
    <w:rsid w:val="002D017C"/>
    <w:rsid w:val="0039186B"/>
    <w:rsid w:val="00644722"/>
    <w:rsid w:val="00672051"/>
    <w:rsid w:val="006B29E4"/>
    <w:rsid w:val="00702FBA"/>
    <w:rsid w:val="00982448"/>
    <w:rsid w:val="009D5C6A"/>
    <w:rsid w:val="00A22425"/>
    <w:rsid w:val="00D34B7C"/>
    <w:rsid w:val="00F14B19"/>
    <w:rsid w:val="02F73D26"/>
    <w:rsid w:val="034D4FEF"/>
    <w:rsid w:val="03DE0026"/>
    <w:rsid w:val="03E2747C"/>
    <w:rsid w:val="043E5B56"/>
    <w:rsid w:val="04EF7C1A"/>
    <w:rsid w:val="06792773"/>
    <w:rsid w:val="06896151"/>
    <w:rsid w:val="09A729D8"/>
    <w:rsid w:val="0A7B4867"/>
    <w:rsid w:val="0AC260D6"/>
    <w:rsid w:val="0B8C3ECC"/>
    <w:rsid w:val="0BC24C29"/>
    <w:rsid w:val="0C3613A3"/>
    <w:rsid w:val="0C7227A7"/>
    <w:rsid w:val="0DCA6EF7"/>
    <w:rsid w:val="0E4B1576"/>
    <w:rsid w:val="11E15093"/>
    <w:rsid w:val="120E0809"/>
    <w:rsid w:val="181A30AD"/>
    <w:rsid w:val="1875698D"/>
    <w:rsid w:val="19071D6C"/>
    <w:rsid w:val="1C317E4F"/>
    <w:rsid w:val="1C472464"/>
    <w:rsid w:val="1DAF458D"/>
    <w:rsid w:val="1E086ACE"/>
    <w:rsid w:val="1EAA4A5F"/>
    <w:rsid w:val="1F040613"/>
    <w:rsid w:val="1F587A0B"/>
    <w:rsid w:val="1FE96E5D"/>
    <w:rsid w:val="2064678E"/>
    <w:rsid w:val="20DD6197"/>
    <w:rsid w:val="21F317F2"/>
    <w:rsid w:val="2241392C"/>
    <w:rsid w:val="23BC04D2"/>
    <w:rsid w:val="25275618"/>
    <w:rsid w:val="27CF2642"/>
    <w:rsid w:val="282459E2"/>
    <w:rsid w:val="2A053397"/>
    <w:rsid w:val="2A444FB1"/>
    <w:rsid w:val="2A6064E2"/>
    <w:rsid w:val="2BA9200B"/>
    <w:rsid w:val="2D1136DF"/>
    <w:rsid w:val="2DAE0E44"/>
    <w:rsid w:val="2EB07E70"/>
    <w:rsid w:val="2F9E416C"/>
    <w:rsid w:val="2FD27414"/>
    <w:rsid w:val="313F1D52"/>
    <w:rsid w:val="318029AB"/>
    <w:rsid w:val="319D6C1C"/>
    <w:rsid w:val="31C63837"/>
    <w:rsid w:val="326F0A17"/>
    <w:rsid w:val="34623382"/>
    <w:rsid w:val="390019F4"/>
    <w:rsid w:val="3914510A"/>
    <w:rsid w:val="3B1220C9"/>
    <w:rsid w:val="3D5275AC"/>
    <w:rsid w:val="3D55093B"/>
    <w:rsid w:val="3EA7725F"/>
    <w:rsid w:val="40834692"/>
    <w:rsid w:val="423A32B2"/>
    <w:rsid w:val="464B7E04"/>
    <w:rsid w:val="46901EEE"/>
    <w:rsid w:val="469C74D2"/>
    <w:rsid w:val="47445515"/>
    <w:rsid w:val="48E21116"/>
    <w:rsid w:val="49C97D5C"/>
    <w:rsid w:val="49F5131D"/>
    <w:rsid w:val="4AE426AE"/>
    <w:rsid w:val="4B4C0111"/>
    <w:rsid w:val="4D3F1CC6"/>
    <w:rsid w:val="4D730311"/>
    <w:rsid w:val="505A358E"/>
    <w:rsid w:val="50DB5F45"/>
    <w:rsid w:val="52F92565"/>
    <w:rsid w:val="55DA564E"/>
    <w:rsid w:val="56E07045"/>
    <w:rsid w:val="583059FA"/>
    <w:rsid w:val="587E6212"/>
    <w:rsid w:val="58D10A34"/>
    <w:rsid w:val="59973ABF"/>
    <w:rsid w:val="5A74678C"/>
    <w:rsid w:val="5AFC6609"/>
    <w:rsid w:val="5C3B09A8"/>
    <w:rsid w:val="5FA17648"/>
    <w:rsid w:val="613409CB"/>
    <w:rsid w:val="61A46A97"/>
    <w:rsid w:val="62DD7D21"/>
    <w:rsid w:val="65D97752"/>
    <w:rsid w:val="664C500C"/>
    <w:rsid w:val="670267B3"/>
    <w:rsid w:val="6773145F"/>
    <w:rsid w:val="68DB0208"/>
    <w:rsid w:val="69846A0E"/>
    <w:rsid w:val="69AD798C"/>
    <w:rsid w:val="6B68175F"/>
    <w:rsid w:val="6B8B5C99"/>
    <w:rsid w:val="6E0F7A08"/>
    <w:rsid w:val="6E801ABC"/>
    <w:rsid w:val="71473612"/>
    <w:rsid w:val="716B13F9"/>
    <w:rsid w:val="718F7F65"/>
    <w:rsid w:val="73423603"/>
    <w:rsid w:val="73DE4104"/>
    <w:rsid w:val="73FB6630"/>
    <w:rsid w:val="74CE04EC"/>
    <w:rsid w:val="74E76DCD"/>
    <w:rsid w:val="76660D7C"/>
    <w:rsid w:val="76CF72D3"/>
    <w:rsid w:val="77ED6F44"/>
    <w:rsid w:val="78B87A58"/>
    <w:rsid w:val="795A0A34"/>
    <w:rsid w:val="79FB30B5"/>
    <w:rsid w:val="7A0D3BC7"/>
    <w:rsid w:val="7A3A3CDB"/>
    <w:rsid w:val="7EAC4FE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32"/>
      <w:szCs w:val="24"/>
      <w:lang w:val="en-US" w:eastAsia="zh-CN" w:bidi="ar-SA"/>
    </w:rPr>
  </w:style>
  <w:style w:type="character" w:default="1" w:styleId="9">
    <w:name w:val="Default Paragraph Font"/>
    <w:semiHidden/>
    <w:unhideWhenUsed/>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toc 3"/>
    <w:basedOn w:val="1"/>
    <w:next w:val="1"/>
    <w:qFormat/>
    <w:uiPriority w:val="0"/>
    <w:pPr>
      <w:ind w:left="840" w:leftChars="400"/>
    </w:p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6">
    <w:name w:val="toc 1"/>
    <w:basedOn w:val="1"/>
    <w:next w:val="1"/>
    <w:qFormat/>
    <w:uiPriority w:val="0"/>
  </w:style>
  <w:style w:type="paragraph" w:styleId="7">
    <w:name w:val="toc 2"/>
    <w:basedOn w:val="1"/>
    <w:next w:val="1"/>
    <w:qFormat/>
    <w:uiPriority w:val="0"/>
    <w:pPr>
      <w:ind w:left="420" w:leftChars="200"/>
    </w:pPr>
  </w:style>
  <w:style w:type="paragraph" w:customStyle="1" w:styleId="10">
    <w:name w:val="WPSOffice手动目录 3"/>
    <w:qFormat/>
    <w:uiPriority w:val="0"/>
    <w:pPr>
      <w:ind w:left="400" w:leftChars="400"/>
    </w:pPr>
    <w:rPr>
      <w:rFonts w:ascii="Times New Roman" w:hAnsi="Times New Roman" w:eastAsia="宋体" w:cs="Times New Roman"/>
      <w:lang w:val="en-US" w:eastAsia="zh-CN" w:bidi="ar-SA"/>
    </w:rPr>
  </w:style>
  <w:style w:type="paragraph" w:customStyle="1" w:styleId="11">
    <w:name w:val="WPSOffice手动目录 2"/>
    <w:qFormat/>
    <w:uiPriority w:val="0"/>
    <w:pPr>
      <w:ind w:left="200" w:leftChars="200"/>
    </w:pPr>
    <w:rPr>
      <w:rFonts w:ascii="Times New Roman" w:hAnsi="Times New Roman" w:eastAsia="宋体" w:cs="Times New Roman"/>
      <w:lang w:val="en-US" w:eastAsia="zh-CN" w:bidi="ar-SA"/>
    </w:rPr>
  </w:style>
  <w:style w:type="paragraph" w:customStyle="1" w:styleId="12">
    <w:name w:val="WPSOffice手动目录 1"/>
    <w:qFormat/>
    <w:uiPriority w:val="0"/>
    <w:rPr>
      <w:rFonts w:ascii="Times New Roman" w:hAnsi="Times New Roman" w:eastAsia="宋体" w:cs="Times New Roman"/>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0D2BC71-196F-4E8D-B958-07750D1EE8B3}">
  <ds:schemaRefs/>
</ds:datastoreItem>
</file>

<file path=docProps/app.xml><?xml version="1.0" encoding="utf-8"?>
<Properties xmlns="http://schemas.openxmlformats.org/officeDocument/2006/extended-properties" xmlns:vt="http://schemas.openxmlformats.org/officeDocument/2006/docPropsVTypes">
  <Template>Normal.dotm</Template>
  <Pages>3</Pages>
  <Words>519</Words>
  <Characters>537</Characters>
  <Lines>10</Lines>
  <Paragraphs>2</Paragraphs>
  <TotalTime>7</TotalTime>
  <ScaleCrop>false</ScaleCrop>
  <LinksUpToDate>false</LinksUpToDate>
  <CharactersWithSpaces>543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2026-07-22T07:37:00Z</dcterms:created>
  <dc:creator>GXR</dc:creator>
  <cp:lastModifiedBy>净</cp:lastModifiedBy>
  <cp:lastPrinted>2024-07-22T11:58:00Z</cp:lastPrinted>
  <dcterms:modified xsi:type="dcterms:W3CDTF">2026-08-25T03:09:34Z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8FDA567F26D84A8C8A1B02E29FDE1AE6_13</vt:lpwstr>
  </property>
  <property fmtid="{D5CDD505-2E9C-101B-9397-08002B2CF9AE}" pid="4" name="KSOTemplateDocerSaveRecord">
    <vt:lpwstr>eyJoZGlkIjoiYzdkNWY5OGM4OTRiMDBlYmMyNmZmZGZhMDgxMzY1MzQiLCJ1c2VySWQiOiI0MDU5MTQxNzUifQ==</vt:lpwstr>
  </property>
</Properties>
</file>