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CDE1098">
      <w:pPr>
        <w:rPr>
          <w:rFonts w:hint="eastAsia" w:ascii="黑体" w:hAnsi="黑体" w:eastAsia="黑体"/>
          <w:sz w:val="32"/>
          <w:szCs w:val="32"/>
        </w:rPr>
      </w:pPr>
    </w:p>
    <w:p w14:paraId="7E2F62AB">
      <w:pPr>
        <w:jc w:val="center"/>
        <w:rPr>
          <w:rFonts w:hint="eastAsia" w:ascii="方正小标宋_GBK" w:hAnsi="宋体" w:eastAsia="方正小标宋_GBK"/>
          <w:sz w:val="44"/>
          <w:szCs w:val="44"/>
        </w:rPr>
      </w:pPr>
    </w:p>
    <w:p w14:paraId="7AE936F3">
      <w:pPr>
        <w:jc w:val="center"/>
        <w:rPr>
          <w:rFonts w:hint="eastAsia" w:ascii="方正小标宋_GBK" w:hAnsi="宋体" w:eastAsia="方正小标宋_GBK"/>
          <w:sz w:val="44"/>
          <w:szCs w:val="44"/>
        </w:rPr>
      </w:pPr>
    </w:p>
    <w:p w14:paraId="5FEDF9CB">
      <w:pPr>
        <w:jc w:val="center"/>
        <w:rPr>
          <w:rFonts w:hint="eastAsia" w:ascii="方正小标宋_GBK" w:hAnsi="宋体" w:eastAsia="方正小标宋_GBK"/>
          <w:sz w:val="44"/>
          <w:szCs w:val="44"/>
        </w:rPr>
      </w:pPr>
    </w:p>
    <w:p w14:paraId="4794C1C7">
      <w:pPr>
        <w:jc w:val="center"/>
        <w:rPr>
          <w:rFonts w:hint="eastAsia" w:ascii="方正小标宋_GBK" w:hAnsi="宋体" w:eastAsia="方正小标宋_GBK"/>
          <w:sz w:val="44"/>
          <w:szCs w:val="44"/>
        </w:rPr>
      </w:pPr>
    </w:p>
    <w:p w14:paraId="2FB3E0A1">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昌吉回族自治州生态环境局</w:t>
      </w:r>
    </w:p>
    <w:p w14:paraId="55AD8026">
      <w:pPr>
        <w:spacing w:line="640" w:lineRule="exact"/>
        <w:jc w:val="center"/>
        <w:rPr>
          <w:rFonts w:hint="eastAsia" w:ascii="方正小标宋_GBK" w:hAnsi="宋体" w:eastAsia="方正小标宋_GBK"/>
          <w:sz w:val="44"/>
          <w:szCs w:val="44"/>
        </w:rPr>
      </w:pPr>
      <w:r>
        <w:rPr>
          <w:rFonts w:hint="eastAsia" w:ascii="方正小标宋_GBK" w:hAnsi="宋体" w:eastAsia="方正小标宋_GBK"/>
          <w:sz w:val="44"/>
          <w:szCs w:val="44"/>
        </w:rPr>
        <w:t>2025年度部门决算公开说明</w:t>
      </w:r>
      <w:bookmarkStart w:id="0" w:name="_GoBack"/>
      <w:bookmarkEnd w:id="0"/>
      <w:r>
        <w:rPr>
          <w:rFonts w:hint="eastAsia" w:ascii="方正小标宋_GBK" w:hAnsi="宋体" w:eastAsia="方正小标宋_GBK"/>
          <w:sz w:val="44"/>
          <w:szCs w:val="44"/>
        </w:rPr>
        <w:t/>
      </w:r>
    </w:p>
    <w:p w14:paraId="7C1A23FE">
      <w:pPr>
        <w:spacing w:line="600" w:lineRule="exact"/>
        <w:jc w:val="center"/>
        <w:rPr>
          <w:rFonts w:hint="eastAsia" w:ascii="仿宋_GB2312" w:hAnsi="仿宋_GB2312" w:eastAsia="仿宋_GB2312" w:cs="仿宋_GB2312"/>
          <w:bCs/>
          <w:kern w:val="0"/>
          <w:sz w:val="32"/>
          <w:szCs w:val="32"/>
        </w:rPr>
      </w:pPr>
      <w:r>
        <w:rPr>
          <w:rFonts w:hint="eastAsia" w:ascii="方正小标宋_GBK" w:hAnsi="宋体" w:eastAsia="方正小标宋_GBK"/>
          <w:sz w:val="44"/>
          <w:szCs w:val="44"/>
        </w:rPr>
        <w:br w:type="page"/>
      </w:r>
      <w:r>
        <w:rPr>
          <w:rFonts w:hint="eastAsia" w:ascii="仿宋_GB2312" w:hAnsi="仿宋_GB2312" w:eastAsia="仿宋_GB2312" w:cs="仿宋_GB2312"/>
          <w:b/>
          <w:kern w:val="0"/>
          <w:sz w:val="36"/>
          <w:szCs w:val="36"/>
        </w:rPr>
        <w:t>目  录</w:t>
      </w:r>
    </w:p>
    <w:p w14:paraId="11E3C096">
      <w:pPr>
        <w:pStyle w:val="6"/>
        <w:tabs>
          <w:tab w:val="right" w:leader="dot" w:pos="8306"/>
        </w:tabs>
        <w:spacing w:line="600" w:lineRule="exact"/>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fldChar w:fldCharType="begin"/>
      </w:r>
      <w:r>
        <w:rPr>
          <w:rFonts w:hint="eastAsia" w:ascii="仿宋_GB2312" w:hAnsi="仿宋_GB2312" w:eastAsia="仿宋_GB2312" w:cs="仿宋_GB2312"/>
          <w:sz w:val="32"/>
          <w:szCs w:val="32"/>
        </w:rPr>
        <w:instrText xml:space="preserve">TOC \o "1-3" \n  \h \u </w:instrText>
      </w:r>
      <w:r>
        <w:rPr>
          <w:rFonts w:hint="eastAsia" w:ascii="仿宋_GB2312" w:hAnsi="仿宋_GB2312" w:eastAsia="仿宋_GB2312" w:cs="仿宋_GB2312"/>
          <w:sz w:val="32"/>
          <w:szCs w:val="32"/>
        </w:rPr>
        <w:fldChar w:fldCharType="separate"/>
      </w:r>
      <w:r>
        <w:fldChar w:fldCharType="begin"/>
      </w:r>
      <w:r>
        <w:instrText xml:space="preserve"> HYPERLINK \l "_Toc31918" </w:instrText>
      </w:r>
      <w:r>
        <w:fldChar w:fldCharType="separate"/>
      </w:r>
      <w:r>
        <w:rPr>
          <w:rFonts w:hint="eastAsia" w:ascii="仿宋_GB2312" w:hAnsi="仿宋_GB2312" w:eastAsia="仿宋_GB2312" w:cs="仿宋_GB2312"/>
          <w:b/>
          <w:bCs/>
          <w:sz w:val="32"/>
          <w:szCs w:val="32"/>
        </w:rPr>
        <w:t>第一部分 单位概况</w:t>
      </w:r>
      <w:r>
        <w:rPr>
          <w:rFonts w:hint="eastAsia" w:ascii="仿宋_GB2312" w:hAnsi="仿宋_GB2312" w:eastAsia="仿宋_GB2312" w:cs="仿宋_GB2312"/>
          <w:b/>
          <w:bCs/>
          <w:sz w:val="32"/>
          <w:szCs w:val="32"/>
        </w:rPr>
        <w:fldChar w:fldCharType="end"/>
      </w:r>
    </w:p>
    <w:p w14:paraId="695FF0F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"_Toc2898" </w:instrText>
      </w:r>
      <w:r>
        <w:fldChar w:fldCharType="separate"/>
      </w:r>
      <w:r>
        <w:rPr>
          <w:rFonts w:hint="eastAsia" w:ascii="仿宋_GB2312" w:hAnsi="仿宋_GB2312" w:eastAsia="仿宋_GB2312" w:cs="仿宋_GB2312"/>
          <w:bCs/>
          <w:kern w:val="0"/>
          <w:sz w:val="32"/>
          <w:szCs w:val="32"/>
        </w:rPr>
        <w:t>一、主要职能</w:t>
      </w:r>
      <w:r>
        <w:rPr>
          <w:rFonts w:hint="eastAsia" w:ascii="仿宋_GB2312" w:hAnsi="仿宋_GB2312" w:eastAsia="仿宋_GB2312" w:cs="仿宋_GB2312"/>
          <w:bCs/>
          <w:kern w:val="0"/>
          <w:sz w:val="32"/>
          <w:szCs w:val="32"/>
        </w:rPr>
        <w:fldChar w:fldCharType="end"/>
      </w:r>
    </w:p>
    <w:p w14:paraId="20AC0F9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"_Toc1387" </w:instrText>
      </w:r>
      <w:r>
        <w:fldChar w:fldCharType="separate"/>
      </w:r>
      <w:r>
        <w:rPr>
          <w:rFonts w:hint="eastAsia" w:ascii="仿宋_GB2312" w:hAnsi="仿宋_GB2312" w:eastAsia="仿宋_GB2312" w:cs="仿宋_GB2312"/>
          <w:bCs/>
          <w:kern w:val="0"/>
          <w:sz w:val="32"/>
          <w:szCs w:val="32"/>
        </w:rPr>
        <w:t>二、机构设置</w:t>
      </w:r>
      <w:r>
        <w:rPr>
          <w:rFonts w:hint="eastAsia" w:ascii="仿宋_GB2312" w:hAnsi="仿宋_GB2312" w:eastAsia="仿宋_GB2312" w:cs="仿宋_GB2312"/>
          <w:bCs/>
          <w:kern w:val="0"/>
          <w:sz w:val="32"/>
          <w:szCs w:val="32"/>
        </w:rPr>
        <w:fldChar w:fldCharType="end"/>
      </w:r>
    </w:p>
    <w:p w14:paraId="03DF0839">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"_Toc7559" </w:instrText>
      </w:r>
      <w:r>
        <w:fldChar w:fldCharType="separate"/>
      </w:r>
      <w:r>
        <w:rPr>
          <w:rFonts w:hint="eastAsia" w:ascii="仿宋_GB2312" w:hAnsi="仿宋_GB2312" w:eastAsia="仿宋_GB2312" w:cs="仿宋_GB2312"/>
          <w:b/>
          <w:bCs/>
          <w:sz w:val="32"/>
          <w:szCs w:val="32"/>
        </w:rPr>
        <w:t>第二部分 部门决算情况说明</w:t>
      </w:r>
      <w:r>
        <w:rPr>
          <w:rFonts w:hint="eastAsia" w:ascii="仿宋_GB2312" w:hAnsi="仿宋_GB2312" w:eastAsia="仿宋_GB2312" w:cs="仿宋_GB2312"/>
          <w:b/>
          <w:bCs/>
          <w:sz w:val="32"/>
          <w:szCs w:val="32"/>
        </w:rPr>
        <w:fldChar w:fldCharType="end"/>
      </w:r>
    </w:p>
    <w:p w14:paraId="1E4B298F">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"_Toc6321" </w:instrText>
      </w:r>
      <w:r>
        <w:fldChar w:fldCharType="separate"/>
      </w:r>
      <w:r>
        <w:rPr>
          <w:rFonts w:hint="eastAsia" w:ascii="仿宋_GB2312" w:hAnsi="仿宋_GB2312" w:eastAsia="仿宋_GB2312" w:cs="仿宋_GB2312"/>
          <w:bCs/>
          <w:kern w:val="0"/>
          <w:sz w:val="32"/>
          <w:szCs w:val="32"/>
        </w:rPr>
        <w:t>一、收入支出决算总体情况说明</w:t>
      </w:r>
      <w:r>
        <w:rPr>
          <w:rFonts w:hint="eastAsia" w:ascii="仿宋_GB2312" w:hAnsi="仿宋_GB2312" w:eastAsia="仿宋_GB2312" w:cs="仿宋_GB2312"/>
          <w:bCs/>
          <w:kern w:val="0"/>
          <w:sz w:val="32"/>
          <w:szCs w:val="32"/>
        </w:rPr>
        <w:fldChar w:fldCharType="end"/>
      </w:r>
    </w:p>
    <w:p w14:paraId="448604E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"_Toc6311" </w:instrText>
      </w:r>
      <w:r>
        <w:fldChar w:fldCharType="separate"/>
      </w:r>
      <w:r>
        <w:rPr>
          <w:rFonts w:hint="eastAsia" w:ascii="仿宋_GB2312" w:hAnsi="仿宋_GB2312" w:eastAsia="仿宋_GB2312" w:cs="仿宋_GB2312"/>
          <w:bCs/>
          <w:kern w:val="0"/>
          <w:sz w:val="32"/>
          <w:szCs w:val="32"/>
        </w:rPr>
        <w:t>二、收入决算情况说明</w:t>
      </w:r>
      <w:r>
        <w:rPr>
          <w:rFonts w:hint="eastAsia" w:ascii="仿宋_GB2312" w:hAnsi="仿宋_GB2312" w:eastAsia="仿宋_GB2312" w:cs="仿宋_GB2312"/>
          <w:bCs/>
          <w:kern w:val="0"/>
          <w:sz w:val="32"/>
          <w:szCs w:val="32"/>
        </w:rPr>
        <w:fldChar w:fldCharType="end"/>
      </w:r>
    </w:p>
    <w:p w14:paraId="6477D7D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"_Toc20629" </w:instrText>
      </w:r>
      <w:r>
        <w:fldChar w:fldCharType="separate"/>
      </w:r>
      <w:r>
        <w:rPr>
          <w:rFonts w:hint="eastAsia" w:ascii="仿宋_GB2312" w:hAnsi="仿宋_GB2312" w:eastAsia="仿宋_GB2312" w:cs="仿宋_GB2312"/>
          <w:bCs/>
          <w:kern w:val="0"/>
          <w:sz w:val="32"/>
          <w:szCs w:val="32"/>
        </w:rPr>
        <w:t>三、支出决算情况说明</w:t>
      </w:r>
      <w:r>
        <w:rPr>
          <w:rFonts w:hint="eastAsia" w:ascii="仿宋_GB2312" w:hAnsi="仿宋_GB2312" w:eastAsia="仿宋_GB2312" w:cs="仿宋_GB2312"/>
          <w:bCs/>
          <w:kern w:val="0"/>
          <w:sz w:val="32"/>
          <w:szCs w:val="32"/>
        </w:rPr>
        <w:fldChar w:fldCharType="end"/>
      </w:r>
    </w:p>
    <w:p w14:paraId="64A0CBA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"_Toc7371" </w:instrText>
      </w:r>
      <w:r>
        <w:fldChar w:fldCharType="separate"/>
      </w:r>
      <w:r>
        <w:rPr>
          <w:rFonts w:hint="eastAsia" w:ascii="仿宋_GB2312" w:hAnsi="仿宋_GB2312" w:eastAsia="仿宋_GB2312" w:cs="仿宋_GB2312"/>
          <w:bCs/>
          <w:kern w:val="0"/>
          <w:sz w:val="32"/>
          <w:szCs w:val="32"/>
        </w:rPr>
        <w:t>四、财政拨款收入支出决算总体情况说明</w:t>
      </w:r>
      <w:r>
        <w:rPr>
          <w:rFonts w:hint="eastAsia" w:ascii="仿宋_GB2312" w:hAnsi="仿宋_GB2312" w:eastAsia="仿宋_GB2312" w:cs="仿宋_GB2312"/>
          <w:bCs/>
          <w:kern w:val="0"/>
          <w:sz w:val="32"/>
          <w:szCs w:val="32"/>
        </w:rPr>
        <w:fldChar w:fldCharType="end"/>
      </w:r>
    </w:p>
    <w:p w14:paraId="07B13FA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"_Toc18905" </w:instrText>
      </w:r>
      <w:r>
        <w:fldChar w:fldCharType="separate"/>
      </w:r>
      <w:r>
        <w:rPr>
          <w:rFonts w:hint="eastAsia" w:ascii="仿宋_GB2312" w:hAnsi="仿宋_GB2312" w:eastAsia="仿宋_GB2312" w:cs="仿宋_GB2312"/>
          <w:bCs/>
          <w:kern w:val="0"/>
          <w:sz w:val="32"/>
          <w:szCs w:val="32"/>
        </w:rPr>
        <w:t>五、一般公共预算财政拨款支出决算情况说明</w:t>
      </w:r>
      <w:r>
        <w:rPr>
          <w:rFonts w:hint="eastAsia" w:ascii="仿宋_GB2312" w:hAnsi="仿宋_GB2312" w:eastAsia="仿宋_GB2312" w:cs="仿宋_GB2312"/>
          <w:bCs/>
          <w:kern w:val="0"/>
          <w:sz w:val="32"/>
          <w:szCs w:val="32"/>
        </w:rPr>
        <w:fldChar w:fldCharType="end"/>
      </w:r>
    </w:p>
    <w:p w14:paraId="35E4954F">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"_Toc1165" </w:instrText>
      </w:r>
      <w:r>
        <w:fldChar w:fldCharType="separate"/>
      </w:r>
      <w:r>
        <w:rPr>
          <w:rFonts w:hint="eastAsia" w:ascii="仿宋_GB2312" w:hAnsi="仿宋_GB2312" w:eastAsia="仿宋_GB2312" w:cs="仿宋_GB2312"/>
          <w:sz w:val="32"/>
          <w:szCs w:val="32"/>
        </w:rPr>
        <w:t>（一）一般公共预算财政拨款支出决算总体情况</w:t>
      </w:r>
      <w:r>
        <w:rPr>
          <w:rFonts w:hint="eastAsia" w:ascii="仿宋_GB2312" w:hAnsi="仿宋_GB2312" w:eastAsia="仿宋_GB2312" w:cs="仿宋_GB2312"/>
          <w:sz w:val="32"/>
          <w:szCs w:val="32"/>
        </w:rPr>
        <w:fldChar w:fldCharType="end"/>
      </w:r>
    </w:p>
    <w:p w14:paraId="1D40B9C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"_Toc27147" </w:instrText>
      </w:r>
      <w:r>
        <w:fldChar w:fldCharType="separate"/>
      </w:r>
      <w:r>
        <w:rPr>
          <w:rFonts w:hint="eastAsia" w:ascii="仿宋_GB2312" w:hAnsi="仿宋_GB2312" w:eastAsia="仿宋_GB2312" w:cs="仿宋_GB2312"/>
          <w:sz w:val="32"/>
          <w:szCs w:val="32"/>
        </w:rPr>
        <w:t>（二）一般公共预算财政拨款支出决算结构情况</w:t>
      </w:r>
      <w:r>
        <w:rPr>
          <w:rFonts w:hint="eastAsia" w:ascii="仿宋_GB2312" w:hAnsi="仿宋_GB2312" w:eastAsia="仿宋_GB2312" w:cs="仿宋_GB2312"/>
          <w:sz w:val="32"/>
          <w:szCs w:val="32"/>
        </w:rPr>
        <w:fldChar w:fldCharType="end"/>
      </w:r>
    </w:p>
    <w:p w14:paraId="572435C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"_Toc10037" </w:instrText>
      </w:r>
      <w:r>
        <w:fldChar w:fldCharType="separate"/>
      </w:r>
      <w:r>
        <w:rPr>
          <w:rFonts w:hint="eastAsia" w:ascii="仿宋_GB2312" w:hAnsi="仿宋_GB2312" w:eastAsia="仿宋_GB2312" w:cs="仿宋_GB2312"/>
          <w:sz w:val="32"/>
          <w:szCs w:val="32"/>
        </w:rPr>
        <w:t>（三）一般公共预算财政拨款支出决算具体情况</w:t>
      </w:r>
      <w:r>
        <w:rPr>
          <w:rFonts w:hint="eastAsia" w:ascii="仿宋_GB2312" w:hAnsi="仿宋_GB2312" w:eastAsia="仿宋_GB2312" w:cs="仿宋_GB2312"/>
          <w:sz w:val="32"/>
          <w:szCs w:val="32"/>
        </w:rPr>
        <w:fldChar w:fldCharType="end"/>
      </w:r>
    </w:p>
    <w:p w14:paraId="2330D4E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"_Toc23415" </w:instrText>
      </w:r>
      <w:r>
        <w:fldChar w:fldCharType="separate"/>
      </w:r>
      <w:r>
        <w:rPr>
          <w:rFonts w:hint="eastAsia" w:ascii="仿宋_GB2312" w:hAnsi="仿宋_GB2312" w:eastAsia="仿宋_GB2312" w:cs="仿宋_GB2312"/>
          <w:bCs/>
          <w:kern w:val="0"/>
          <w:sz w:val="32"/>
          <w:szCs w:val="32"/>
        </w:rPr>
        <w:t>六、一般公共预算财政拨款基本支出决算情况说明</w:t>
      </w:r>
      <w:r>
        <w:rPr>
          <w:rFonts w:hint="eastAsia" w:ascii="仿宋_GB2312" w:hAnsi="仿宋_GB2312" w:eastAsia="仿宋_GB2312" w:cs="仿宋_GB2312"/>
          <w:bCs/>
          <w:kern w:val="0"/>
          <w:sz w:val="32"/>
          <w:szCs w:val="32"/>
        </w:rPr>
        <w:fldChar w:fldCharType="end"/>
      </w:r>
    </w:p>
    <w:p w14:paraId="2363D30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"_Toc7523" </w:instrText>
      </w:r>
      <w:r>
        <w:fldChar w:fldCharType="separate"/>
      </w:r>
      <w:r>
        <w:rPr>
          <w:rFonts w:hint="eastAsia" w:ascii="仿宋_GB2312" w:hAnsi="仿宋_GB2312" w:eastAsia="仿宋_GB2312" w:cs="仿宋_GB2312"/>
          <w:bCs/>
          <w:kern w:val="0"/>
          <w:sz w:val="32"/>
          <w:szCs w:val="32"/>
        </w:rPr>
        <w:t>七、政府性基金预算财政拨款收入支出决算情况说明</w:t>
      </w:r>
      <w:r>
        <w:rPr>
          <w:rFonts w:hint="eastAsia" w:ascii="仿宋_GB2312" w:hAnsi="仿宋_GB2312" w:eastAsia="仿宋_GB2312" w:cs="仿宋_GB2312"/>
          <w:bCs/>
          <w:kern w:val="0"/>
          <w:sz w:val="32"/>
          <w:szCs w:val="32"/>
        </w:rPr>
        <w:fldChar w:fldCharType="end"/>
      </w:r>
    </w:p>
    <w:p w14:paraId="47A33664">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"_Toc5563" </w:instrText>
      </w:r>
      <w:r>
        <w:fldChar w:fldCharType="separate"/>
      </w:r>
      <w:r>
        <w:rPr>
          <w:rFonts w:hint="eastAsia" w:ascii="仿宋_GB2312" w:hAnsi="仿宋_GB2312" w:eastAsia="仿宋_GB2312" w:cs="仿宋_GB2312"/>
          <w:bCs/>
          <w:kern w:val="0"/>
          <w:sz w:val="32"/>
          <w:szCs w:val="32"/>
        </w:rPr>
        <w:t>八、国有资本经营预算财政拨款收入支出决算情况说明</w:t>
      </w:r>
      <w:r>
        <w:rPr>
          <w:rFonts w:hint="eastAsia" w:ascii="仿宋_GB2312" w:hAnsi="仿宋_GB2312" w:eastAsia="仿宋_GB2312" w:cs="仿宋_GB2312"/>
          <w:bCs/>
          <w:kern w:val="0"/>
          <w:sz w:val="32"/>
          <w:szCs w:val="32"/>
        </w:rPr>
        <w:fldChar w:fldCharType="end"/>
      </w:r>
    </w:p>
    <w:p w14:paraId="5B6A706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"_Toc9161" </w:instrText>
      </w:r>
      <w:r>
        <w:fldChar w:fldCharType="separate"/>
      </w:r>
      <w:r>
        <w:rPr>
          <w:rFonts w:hint="eastAsia" w:ascii="仿宋_GB2312" w:hAnsi="仿宋_GB2312" w:eastAsia="仿宋_GB2312" w:cs="仿宋_GB2312"/>
          <w:bCs/>
          <w:kern w:val="0"/>
          <w:sz w:val="32"/>
          <w:szCs w:val="32"/>
        </w:rPr>
        <w:t>九、财政拨款“三公”经费支出决算情况说明</w:t>
      </w:r>
      <w:r>
        <w:rPr>
          <w:rFonts w:hint="eastAsia" w:ascii="仿宋_GB2312" w:hAnsi="仿宋_GB2312" w:eastAsia="仿宋_GB2312" w:cs="仿宋_GB2312"/>
          <w:bCs/>
          <w:kern w:val="0"/>
          <w:sz w:val="32"/>
          <w:szCs w:val="32"/>
        </w:rPr>
        <w:fldChar w:fldCharType="end"/>
      </w:r>
    </w:p>
    <w:p w14:paraId="1D67ADC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"_Toc16395" </w:instrText>
      </w:r>
      <w:r>
        <w:fldChar w:fldCharType="separate"/>
      </w:r>
      <w:r>
        <w:rPr>
          <w:rFonts w:hint="eastAsia" w:ascii="仿宋_GB2312" w:hAnsi="仿宋_GB2312" w:eastAsia="仿宋_GB2312" w:cs="仿宋_GB2312"/>
          <w:bCs/>
          <w:kern w:val="0"/>
          <w:sz w:val="32"/>
          <w:szCs w:val="32"/>
        </w:rPr>
        <w:t>十、其他重要事项的情况说明</w:t>
      </w:r>
      <w:r>
        <w:rPr>
          <w:rFonts w:hint="eastAsia" w:ascii="仿宋_GB2312" w:hAnsi="仿宋_GB2312" w:eastAsia="仿宋_GB2312" w:cs="仿宋_GB2312"/>
          <w:bCs/>
          <w:kern w:val="0"/>
          <w:sz w:val="32"/>
          <w:szCs w:val="32"/>
        </w:rPr>
        <w:fldChar w:fldCharType="end"/>
      </w:r>
    </w:p>
    <w:p w14:paraId="2D81D31B">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"_Toc21748" </w:instrText>
      </w:r>
      <w:r>
        <w:fldChar w:fldCharType="separate"/>
      </w:r>
      <w:r>
        <w:rPr>
          <w:rFonts w:hint="eastAsia" w:ascii="仿宋_GB2312" w:hAnsi="仿宋_GB2312" w:eastAsia="仿宋_GB2312" w:cs="仿宋_GB2312"/>
          <w:sz w:val="32"/>
          <w:szCs w:val="32"/>
        </w:rPr>
        <w:t>（一）机关运行经费及公用经费支出情况</w:t>
      </w:r>
      <w:r>
        <w:rPr>
          <w:rFonts w:hint="eastAsia" w:ascii="仿宋_GB2312" w:hAnsi="仿宋_GB2312" w:eastAsia="仿宋_GB2312" w:cs="仿宋_GB2312"/>
          <w:sz w:val="32"/>
          <w:szCs w:val="32"/>
        </w:rPr>
        <w:fldChar w:fldCharType="end"/>
      </w:r>
    </w:p>
    <w:p w14:paraId="688C6E4D">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"_Toc25177" </w:instrText>
      </w:r>
      <w:r>
        <w:fldChar w:fldCharType="separate"/>
      </w:r>
      <w:r>
        <w:rPr>
          <w:rFonts w:hint="eastAsia" w:ascii="仿宋_GB2312" w:hAnsi="仿宋_GB2312" w:eastAsia="仿宋_GB2312" w:cs="仿宋_GB2312"/>
          <w:sz w:val="32"/>
          <w:szCs w:val="32"/>
        </w:rPr>
        <w:t>（二）政府采购情况</w:t>
      </w:r>
      <w:r>
        <w:rPr>
          <w:rFonts w:hint="eastAsia" w:ascii="仿宋_GB2312" w:hAnsi="仿宋_GB2312" w:eastAsia="仿宋_GB2312" w:cs="仿宋_GB2312"/>
          <w:sz w:val="32"/>
          <w:szCs w:val="32"/>
        </w:rPr>
        <w:fldChar w:fldCharType="end"/>
      </w:r>
    </w:p>
    <w:p w14:paraId="6E70625A">
      <w:pPr>
        <w:pStyle w:val="3"/>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"_Toc31294" </w:instrText>
      </w:r>
      <w:r>
        <w:fldChar w:fldCharType="separate"/>
      </w:r>
      <w:r>
        <w:rPr>
          <w:rFonts w:hint="eastAsia" w:ascii="仿宋_GB2312" w:hAnsi="仿宋_GB2312" w:eastAsia="仿宋_GB2312" w:cs="仿宋_GB2312"/>
          <w:sz w:val="32"/>
          <w:szCs w:val="32"/>
        </w:rPr>
        <w:t>（三）国有资产占用情况说明</w:t>
      </w:r>
      <w:r>
        <w:rPr>
          <w:rFonts w:hint="eastAsia" w:ascii="仿宋_GB2312" w:hAnsi="仿宋_GB2312" w:eastAsia="仿宋_GB2312" w:cs="仿宋_GB2312"/>
          <w:sz w:val="32"/>
          <w:szCs w:val="32"/>
        </w:rPr>
        <w:fldChar w:fldCharType="end"/>
      </w:r>
    </w:p>
    <w:p w14:paraId="687A037D">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"_Toc17664" </w:instrText>
      </w:r>
      <w:r>
        <w:fldChar w:fldCharType="separate"/>
      </w:r>
      <w:r>
        <w:rPr>
          <w:rFonts w:hint="eastAsia" w:ascii="仿宋_GB2312" w:hAnsi="仿宋_GB2312" w:eastAsia="仿宋_GB2312" w:cs="仿宋_GB2312"/>
          <w:bCs/>
          <w:kern w:val="0"/>
          <w:sz w:val="32"/>
          <w:szCs w:val="32"/>
        </w:rPr>
        <w:t>十一、预算绩效的情况说明</w:t>
      </w:r>
      <w:r>
        <w:rPr>
          <w:rFonts w:hint="eastAsia" w:ascii="仿宋_GB2312" w:hAnsi="仿宋_GB2312" w:eastAsia="仿宋_GB2312" w:cs="仿宋_GB2312"/>
          <w:bCs/>
          <w:kern w:val="0"/>
          <w:sz w:val="32"/>
          <w:szCs w:val="32"/>
        </w:rPr>
        <w:fldChar w:fldCharType="end"/>
      </w:r>
    </w:p>
    <w:p w14:paraId="2BE4C8B9">
      <w:pPr>
        <w:spacing w:line="600" w:lineRule="exact"/>
        <w:rPr>
          <w:rFonts w:eastAsia="仿宋_GB2312"/>
        </w:rPr>
      </w:pPr>
      <w:r>
        <w:rPr>
          <w:rFonts w:hint="eastAsia" w:ascii="仿宋_GB2312" w:hAnsi="仿宋_GB2312" w:eastAsia="仿宋_GB2312" w:cs="仿宋_GB2312"/>
          <w:sz w:val="32"/>
          <w:szCs w:val="32"/>
        </w:rPr>
        <w:t>十二、</w:t>
      </w:r>
      <w:r>
        <w:rPr>
          <w:rFonts w:ascii="仿宋_GB2312" w:hAnsi="仿宋_GB2312" w:eastAsia="仿宋_GB2312" w:cs="仿宋_GB2312"/>
          <w:sz w:val="32"/>
          <w:szCs w:val="32"/>
        </w:rPr>
        <w:t>其他需说明的事项</w:t>
      </w:r>
    </w:p>
    <w:p w14:paraId="02F533C8">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"_Toc30038" </w:instrText>
      </w:r>
      <w:r>
        <w:fldChar w:fldCharType="separate"/>
      </w:r>
      <w:r>
        <w:rPr>
          <w:rFonts w:hint="eastAsia" w:ascii="仿宋_GB2312" w:hAnsi="仿宋_GB2312" w:eastAsia="仿宋_GB2312" w:cs="仿宋_GB2312"/>
          <w:b/>
          <w:bCs/>
          <w:sz w:val="32"/>
          <w:szCs w:val="32"/>
        </w:rPr>
        <w:t>第三部分 专业名词解释</w:t>
      </w:r>
      <w:r>
        <w:rPr>
          <w:rFonts w:hint="eastAsia" w:ascii="仿宋_GB2312" w:hAnsi="仿宋_GB2312" w:eastAsia="仿宋_GB2312" w:cs="仿宋_GB2312"/>
          <w:b/>
          <w:bCs/>
          <w:sz w:val="32"/>
          <w:szCs w:val="32"/>
        </w:rPr>
        <w:fldChar w:fldCharType="end"/>
      </w:r>
    </w:p>
    <w:p w14:paraId="13D03994">
      <w:pPr>
        <w:pStyle w:val="6"/>
        <w:tabs>
          <w:tab w:val="right" w:leader="dot" w:pos="8306"/>
        </w:tabs>
        <w:spacing w:line="600" w:lineRule="exact"/>
        <w:rPr>
          <w:rFonts w:hint="eastAsia" w:ascii="仿宋_GB2312" w:hAnsi="仿宋_GB2312" w:eastAsia="仿宋_GB2312" w:cs="仿宋_GB2312"/>
          <w:b/>
          <w:bCs/>
          <w:sz w:val="32"/>
          <w:szCs w:val="32"/>
        </w:rPr>
      </w:pPr>
      <w:r>
        <w:fldChar w:fldCharType="begin"/>
      </w:r>
      <w:r>
        <w:instrText xml:space="preserve"> HYPERLINK \l "_Toc6831" </w:instrText>
      </w:r>
      <w:r>
        <w:fldChar w:fldCharType="separate"/>
      </w:r>
      <w:r>
        <w:rPr>
          <w:rFonts w:hint="eastAsia" w:ascii="仿宋_GB2312" w:hAnsi="仿宋_GB2312" w:eastAsia="仿宋_GB2312" w:cs="仿宋_GB2312"/>
          <w:b/>
          <w:bCs/>
          <w:sz w:val="32"/>
          <w:szCs w:val="32"/>
        </w:rPr>
        <w:t>第四部分 部门决算报表（见附表）</w:t>
      </w:r>
      <w:r>
        <w:rPr>
          <w:rFonts w:hint="eastAsia" w:ascii="仿宋_GB2312" w:hAnsi="仿宋_GB2312" w:eastAsia="仿宋_GB2312" w:cs="仿宋_GB2312"/>
          <w:b/>
          <w:bCs/>
          <w:sz w:val="32"/>
          <w:szCs w:val="32"/>
        </w:rPr>
        <w:fldChar w:fldCharType="end"/>
      </w:r>
    </w:p>
    <w:p w14:paraId="363DA5E8">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"_Toc3845" </w:instrText>
      </w:r>
      <w:r>
        <w:fldChar w:fldCharType="separate"/>
      </w:r>
      <w:r>
        <w:rPr>
          <w:rFonts w:hint="eastAsia" w:ascii="仿宋_GB2312" w:hAnsi="仿宋_GB2312" w:eastAsia="仿宋_GB2312" w:cs="仿宋_GB2312"/>
          <w:bCs/>
          <w:kern w:val="0"/>
          <w:sz w:val="32"/>
          <w:szCs w:val="32"/>
        </w:rPr>
        <w:t>一、《收入支出决算总表》</w:t>
      </w:r>
      <w:r>
        <w:rPr>
          <w:rFonts w:hint="eastAsia" w:ascii="仿宋_GB2312" w:hAnsi="仿宋_GB2312" w:eastAsia="仿宋_GB2312" w:cs="仿宋_GB2312"/>
          <w:bCs/>
          <w:kern w:val="0"/>
          <w:sz w:val="32"/>
          <w:szCs w:val="32"/>
        </w:rPr>
        <w:fldChar w:fldCharType="end"/>
      </w:r>
    </w:p>
    <w:p w14:paraId="7612762B">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"_Toc11927" </w:instrText>
      </w:r>
      <w:r>
        <w:fldChar w:fldCharType="separate"/>
      </w:r>
      <w:r>
        <w:rPr>
          <w:rFonts w:hint="eastAsia" w:ascii="仿宋_GB2312" w:hAnsi="仿宋_GB2312" w:eastAsia="仿宋_GB2312" w:cs="仿宋_GB2312"/>
          <w:bCs/>
          <w:kern w:val="0"/>
          <w:sz w:val="32"/>
          <w:szCs w:val="32"/>
        </w:rPr>
        <w:t>二、《收入决算表》</w:t>
      </w:r>
      <w:r>
        <w:rPr>
          <w:rFonts w:hint="eastAsia" w:ascii="仿宋_GB2312" w:hAnsi="仿宋_GB2312" w:eastAsia="仿宋_GB2312" w:cs="仿宋_GB2312"/>
          <w:bCs/>
          <w:kern w:val="0"/>
          <w:sz w:val="32"/>
          <w:szCs w:val="32"/>
        </w:rPr>
        <w:fldChar w:fldCharType="end"/>
      </w:r>
    </w:p>
    <w:p w14:paraId="3D4C350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"_Toc7443" </w:instrText>
      </w:r>
      <w:r>
        <w:fldChar w:fldCharType="separate"/>
      </w:r>
      <w:r>
        <w:rPr>
          <w:rFonts w:hint="eastAsia" w:ascii="仿宋_GB2312" w:hAnsi="仿宋_GB2312" w:eastAsia="仿宋_GB2312" w:cs="仿宋_GB2312"/>
          <w:bCs/>
          <w:kern w:val="0"/>
          <w:sz w:val="32"/>
          <w:szCs w:val="32"/>
        </w:rPr>
        <w:t>三、《支出决算表》</w:t>
      </w:r>
      <w:r>
        <w:rPr>
          <w:rFonts w:hint="eastAsia" w:ascii="仿宋_GB2312" w:hAnsi="仿宋_GB2312" w:eastAsia="仿宋_GB2312" w:cs="仿宋_GB2312"/>
          <w:bCs/>
          <w:kern w:val="0"/>
          <w:sz w:val="32"/>
          <w:szCs w:val="32"/>
        </w:rPr>
        <w:fldChar w:fldCharType="end"/>
      </w:r>
    </w:p>
    <w:p w14:paraId="2F9A11B3">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"_Toc24884" </w:instrText>
      </w:r>
      <w:r>
        <w:fldChar w:fldCharType="separate"/>
      </w:r>
      <w:r>
        <w:rPr>
          <w:rFonts w:hint="eastAsia" w:ascii="仿宋_GB2312" w:hAnsi="仿宋_GB2312" w:eastAsia="仿宋_GB2312" w:cs="仿宋_GB2312"/>
          <w:bCs/>
          <w:kern w:val="0"/>
          <w:sz w:val="32"/>
          <w:szCs w:val="32"/>
        </w:rPr>
        <w:t>四、《财政拨款收入支出决算总表》</w:t>
      </w:r>
      <w:r>
        <w:rPr>
          <w:rFonts w:hint="eastAsia" w:ascii="仿宋_GB2312" w:hAnsi="仿宋_GB2312" w:eastAsia="仿宋_GB2312" w:cs="仿宋_GB2312"/>
          <w:bCs/>
          <w:kern w:val="0"/>
          <w:sz w:val="32"/>
          <w:szCs w:val="32"/>
        </w:rPr>
        <w:fldChar w:fldCharType="end"/>
      </w:r>
    </w:p>
    <w:p w14:paraId="44A5CB8E">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"_Toc16518" </w:instrText>
      </w:r>
      <w:r>
        <w:fldChar w:fldCharType="separate"/>
      </w:r>
      <w:r>
        <w:rPr>
          <w:rFonts w:hint="eastAsia" w:ascii="仿宋_GB2312" w:hAnsi="仿宋_GB2312" w:eastAsia="仿宋_GB2312" w:cs="仿宋_GB2312"/>
          <w:bCs/>
          <w:kern w:val="0"/>
          <w:sz w:val="32"/>
          <w:szCs w:val="32"/>
        </w:rPr>
        <w:t>五、《一般公共预算财政拨款支出决算表》</w:t>
      </w:r>
      <w:r>
        <w:rPr>
          <w:rFonts w:hint="eastAsia" w:ascii="仿宋_GB2312" w:hAnsi="仿宋_GB2312" w:eastAsia="仿宋_GB2312" w:cs="仿宋_GB2312"/>
          <w:bCs/>
          <w:kern w:val="0"/>
          <w:sz w:val="32"/>
          <w:szCs w:val="32"/>
        </w:rPr>
        <w:fldChar w:fldCharType="end"/>
      </w:r>
    </w:p>
    <w:p w14:paraId="277EE406">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"_Toc20514" </w:instrText>
      </w:r>
      <w:r>
        <w:fldChar w:fldCharType="separate"/>
      </w:r>
      <w:r>
        <w:rPr>
          <w:rFonts w:hint="eastAsia" w:ascii="仿宋_GB2312" w:hAnsi="仿宋_GB2312" w:eastAsia="仿宋_GB2312" w:cs="仿宋_GB2312"/>
          <w:bCs/>
          <w:kern w:val="0"/>
          <w:sz w:val="32"/>
          <w:szCs w:val="32"/>
        </w:rPr>
        <w:t>六、《一般公共预算财政拨款基本支出决算表》</w:t>
      </w:r>
      <w:r>
        <w:rPr>
          <w:rFonts w:hint="eastAsia" w:ascii="仿宋_GB2312" w:hAnsi="仿宋_GB2312" w:eastAsia="仿宋_GB2312" w:cs="仿宋_GB2312"/>
          <w:bCs/>
          <w:kern w:val="0"/>
          <w:sz w:val="32"/>
          <w:szCs w:val="32"/>
        </w:rPr>
        <w:fldChar w:fldCharType="end"/>
      </w:r>
    </w:p>
    <w:p w14:paraId="49FE8110">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"_Toc18055" </w:instrText>
      </w:r>
      <w:r>
        <w:fldChar w:fldCharType="separate"/>
      </w:r>
      <w:r>
        <w:rPr>
          <w:rFonts w:hint="eastAsia" w:ascii="仿宋_GB2312" w:hAnsi="仿宋_GB2312" w:eastAsia="仿宋_GB2312" w:cs="仿宋_GB2312"/>
          <w:bCs/>
          <w:kern w:val="0"/>
          <w:sz w:val="32"/>
          <w:szCs w:val="32"/>
        </w:rPr>
        <w:t>七、《政府性基金预算财政拨款收入支出决算表》</w:t>
      </w:r>
      <w:r>
        <w:rPr>
          <w:rFonts w:hint="eastAsia" w:ascii="仿宋_GB2312" w:hAnsi="仿宋_GB2312" w:eastAsia="仿宋_GB2312" w:cs="仿宋_GB2312"/>
          <w:bCs/>
          <w:kern w:val="0"/>
          <w:sz w:val="32"/>
          <w:szCs w:val="32"/>
        </w:rPr>
        <w:fldChar w:fldCharType="end"/>
      </w:r>
    </w:p>
    <w:p w14:paraId="43AA1635">
      <w:pPr>
        <w:pStyle w:val="7"/>
        <w:tabs>
          <w:tab w:val="right" w:leader="dot" w:pos="8306"/>
        </w:tabs>
        <w:spacing w:line="600" w:lineRule="exact"/>
        <w:ind w:left="0" w:leftChars="0"/>
        <w:rPr>
          <w:rFonts w:hint="eastAsia" w:ascii="仿宋_GB2312" w:hAnsi="仿宋_GB2312" w:eastAsia="仿宋_GB2312" w:cs="仿宋_GB2312"/>
          <w:sz w:val="32"/>
          <w:szCs w:val="32"/>
        </w:rPr>
      </w:pPr>
      <w:r>
        <w:fldChar w:fldCharType="begin"/>
      </w:r>
      <w:r>
        <w:instrText xml:space="preserve"> HYPERLINK \l "_Toc10719" </w:instrText>
      </w:r>
      <w:r>
        <w:fldChar w:fldCharType="separate"/>
      </w:r>
      <w:r>
        <w:rPr>
          <w:rFonts w:hint="eastAsia" w:ascii="仿宋_GB2312" w:hAnsi="仿宋_GB2312" w:eastAsia="仿宋_GB2312" w:cs="仿宋_GB2312"/>
          <w:bCs/>
          <w:kern w:val="0"/>
          <w:sz w:val="32"/>
          <w:szCs w:val="32"/>
        </w:rPr>
        <w:t>八、《国有资本经营预算财政拨款收入支出决算表》</w:t>
      </w:r>
      <w:r>
        <w:rPr>
          <w:rFonts w:hint="eastAsia" w:ascii="仿宋_GB2312" w:hAnsi="仿宋_GB2312" w:eastAsia="仿宋_GB2312" w:cs="仿宋_GB2312"/>
          <w:bCs/>
          <w:kern w:val="0"/>
          <w:sz w:val="32"/>
          <w:szCs w:val="32"/>
        </w:rPr>
        <w:fldChar w:fldCharType="end"/>
      </w:r>
    </w:p>
    <w:p w14:paraId="5D4DF260">
      <w:pPr>
        <w:pStyle w:val="7"/>
        <w:tabs>
          <w:tab w:val="right" w:leader="dot" w:pos="8306"/>
        </w:tabs>
        <w:spacing w:line="600" w:lineRule="exact"/>
        <w:ind w:left="0" w:leftChars="0"/>
        <w:rPr>
          <w:rFonts w:hint="eastAsia" w:ascii="黑体" w:hAnsi="黑体" w:eastAsia="黑体" w:cs="宋体"/>
          <w:bCs/>
          <w:kern w:val="0"/>
          <w:sz w:val="32"/>
          <w:szCs w:val="32"/>
        </w:rPr>
      </w:pPr>
      <w:r>
        <w:fldChar w:fldCharType="begin"/>
      </w:r>
      <w:r>
        <w:instrText xml:space="preserve"> HYPERLINK \l "_Toc18861" </w:instrText>
      </w:r>
      <w:r>
        <w:fldChar w:fldCharType="separate"/>
      </w:r>
      <w:r>
        <w:rPr>
          <w:rFonts w:hint="eastAsia" w:ascii="仿宋_GB2312" w:hAnsi="仿宋_GB2312" w:eastAsia="仿宋_GB2312" w:cs="仿宋_GB2312"/>
          <w:bCs/>
          <w:kern w:val="0"/>
          <w:sz w:val="32"/>
          <w:szCs w:val="32"/>
        </w:rPr>
        <w:t>九、《财政拨款“三公”经费支出决算表》</w:t>
      </w:r>
      <w:r>
        <w:rPr>
          <w:rFonts w:hint="eastAsia" w:ascii="仿宋_GB2312" w:hAnsi="仿宋_GB2312" w:eastAsia="仿宋_GB2312" w:cs="仿宋_GB2312"/>
          <w:bCs/>
          <w:kern w:val="0"/>
          <w:sz w:val="32"/>
          <w:szCs w:val="32"/>
        </w:rPr>
        <w:fldChar w:fldCharType="end"/>
      </w:r>
      <w:r>
        <w:rPr>
          <w:rFonts w:hint="eastAsia" w:ascii="仿宋_GB2312" w:hAnsi="仿宋_GB2312" w:eastAsia="仿宋_GB2312" w:cs="仿宋_GB2312"/>
          <w:sz w:val="32"/>
          <w:szCs w:val="32"/>
        </w:rPr>
        <w:fldChar w:fldCharType="end"/>
      </w:r>
    </w:p>
    <w:p>
      <w:r>
        <w:br w:type="page"/>
      </w:r>
    </w:p>
    <w:p>
      <w:pPr>
        <w:spacing w:line="640" w:lineRule="exact"/>
        <w:jc w:val="center"/>
        <w:outlineLvl w:val="1"/>
      </w:pPr>
      <w:r>
        <w:rPr>
          <w:rFonts w:ascii="黑体" w:hAnsi="黑体" w:eastAsia="黑体"/>
          <w:sz w:val="32"/>
        </w:rPr>
        <w:t>第一部分 单位概况</w:t>
      </w:r>
    </w:p>
    <w:p>
      <w:pPr>
        <w:spacing w:line="640" w:lineRule="exact"/>
        <w:ind w:firstLine="640"/>
        <w:jc w:val="both"/>
        <w:outlineLvl w:val="2"/>
      </w:pPr>
      <w:r>
        <w:rPr>
          <w:rFonts w:ascii="黑体" w:hAnsi="黑体" w:eastAsia="黑体"/>
          <w:sz w:val="32"/>
        </w:rPr>
        <w:t>一、主要职能</w:t>
      </w:r>
    </w:p>
    <w:p>
      <w:pPr>
        <w:spacing w:line="580" w:lineRule="exact"/>
        <w:ind w:firstLine="640"/>
        <w:jc w:val="both"/>
      </w:pPr>
      <w:r>
        <w:rPr>
          <w:rFonts w:ascii="仿宋_GB2312" w:hAnsi="仿宋_GB2312" w:eastAsia="仿宋_GB2312"/>
          <w:sz w:val="32"/>
        </w:rPr>
        <w:t>(1)落实国家环境保护基本制度。负责重大环境问题的统筹协调和监督管理。承担落实自治区和自治州减排目标的责任。承担从源头上预防、控制环境污染和环境破坏的责任。</w:t>
      </w:r>
    </w:p>
    <w:p>
      <w:pPr>
        <w:spacing w:line="580" w:lineRule="exact"/>
        <w:ind w:firstLine="640"/>
        <w:jc w:val="both"/>
      </w:pPr>
      <w:r>
        <w:rPr>
          <w:rFonts w:ascii="仿宋_GB2312" w:hAnsi="仿宋_GB2312" w:eastAsia="仿宋_GB2312"/>
          <w:sz w:val="32"/>
        </w:rPr>
        <w:t>(2)负责环境污染防治的监督管理。指导、协调、监督生态保护工作。负责核安全和辐射安全的监督管理。负责环境监测和信息发布。开展环境保护科技工作。组织、指导和协调环境保护宣传教育工作。指导自治州环境保护队伍建设；规划与组织指导全州环保系统在职人员岗位培训。</w:t>
      </w:r>
    </w:p>
    <w:p>
      <w:pPr>
        <w:spacing w:line="580" w:lineRule="exact"/>
        <w:ind w:firstLine="640"/>
        <w:jc w:val="both"/>
      </w:pPr>
      <w:r>
        <w:rPr>
          <w:rFonts w:ascii="仿宋_GB2312" w:hAnsi="仿宋_GB2312" w:eastAsia="仿宋_GB2312"/>
          <w:sz w:val="32"/>
        </w:rPr>
        <w:t>(3)承担自治州人民政府交办的其他事项。</w:t>
      </w:r>
    </w:p>
    <w:p>
      <w:pPr>
        <w:spacing w:line="640" w:lineRule="exact"/>
        <w:ind w:firstLine="640"/>
        <w:jc w:val="both"/>
        <w:outlineLvl w:val="2"/>
      </w:pPr>
      <w:r>
        <w:rPr>
          <w:rFonts w:ascii="黑体" w:hAnsi="黑体" w:eastAsia="黑体"/>
          <w:sz w:val="32"/>
        </w:rPr>
        <w:t>二、机构设置</w:t>
      </w:r>
    </w:p>
    <w:p>
      <w:pPr>
        <w:spacing w:line="580" w:lineRule="exact"/>
        <w:ind w:firstLine="640"/>
        <w:jc w:val="both"/>
      </w:pPr>
      <w:r>
        <w:rPr>
          <w:rFonts w:ascii="仿宋_GB2312" w:hAnsi="仿宋_GB2312" w:eastAsia="仿宋_GB2312"/>
          <w:sz w:val="32"/>
        </w:rPr>
        <w:t>昌吉回族自治州生态环境局无下属预算单位。</w:t>
      </w:r>
    </w:p>
    <w:p>
      <w:r>
        <w:br w:type="page"/>
      </w:r>
    </w:p>
    <w:p>
      <w:pPr>
        <w:spacing w:line="240" w:lineRule="auto"/>
        <w:jc w:val="center"/>
        <w:outlineLvl w:val="1"/>
      </w:pPr>
      <w:r>
        <w:rPr>
          <w:rFonts w:ascii="黑体" w:hAnsi="黑体" w:eastAsia="黑体"/>
          <w:sz w:val="32"/>
        </w:rPr>
        <w:t>第二部分 部门决算情况说明</w:t>
      </w:r>
    </w:p>
    <w:p>
      <w:pPr>
        <w:spacing w:line="640" w:lineRule="exact"/>
        <w:ind w:firstLine="640"/>
        <w:jc w:val="both"/>
        <w:outlineLvl w:val="2"/>
      </w:pPr>
      <w:r>
        <w:rPr>
          <w:rFonts w:ascii="黑体" w:hAnsi="黑体" w:eastAsia="黑体"/>
          <w:sz w:val="32"/>
        </w:rPr>
        <w:t>一、收入支出决算总体情况说明</w:t>
      </w:r>
    </w:p>
    <w:p>
      <w:pPr>
        <w:spacing w:line="580" w:lineRule="exact"/>
        <w:ind w:firstLine="640"/>
        <w:jc w:val="both"/>
      </w:pPr>
      <w:r>
        <w:rPr>
          <w:rFonts w:ascii="仿宋_GB2312" w:hAnsi="仿宋_GB2312" w:eastAsia="仿宋_GB2312"/>
          <w:b/>
          <w:sz w:val="32"/>
        </w:rPr>
        <w:t>2025年度收入总计7,901.63万元，</w:t>
      </w:r>
      <w:r>
        <w:rPr>
          <w:rFonts w:ascii="仿宋_GB2312" w:hAnsi="仿宋_GB2312" w:eastAsia="仿宋_GB2312"/>
          <w:b w:val="0"/>
          <w:sz w:val="32"/>
        </w:rPr>
        <w:t>其中：本年收入合计7,678.00万元，使用非财政拨款结余（含专用结余）0.00万元，年初结转和结余223.63万元。</w:t>
      </w:r>
    </w:p>
    <w:p>
      <w:pPr>
        <w:spacing w:line="580" w:lineRule="exact"/>
        <w:ind w:firstLine="640"/>
        <w:jc w:val="both"/>
      </w:pPr>
      <w:r>
        <w:rPr>
          <w:rFonts w:ascii="仿宋_GB2312" w:hAnsi="仿宋_GB2312" w:eastAsia="仿宋_GB2312"/>
          <w:b/>
          <w:sz w:val="32"/>
        </w:rPr>
        <w:t>2025年度支出总计7,901.63万元，</w:t>
      </w:r>
      <w:r>
        <w:rPr>
          <w:rFonts w:ascii="仿宋_GB2312" w:hAnsi="仿宋_GB2312" w:eastAsia="仿宋_GB2312"/>
          <w:b w:val="0"/>
          <w:sz w:val="32"/>
        </w:rPr>
        <w:t>其中：本年支出合计7,638.92万元，结余分配0.00万元，年末结转和结余262.71万元。</w:t>
      </w:r>
    </w:p>
    <w:p>
      <w:pPr>
        <w:spacing w:line="580" w:lineRule="exact"/>
        <w:ind w:firstLine="640"/>
        <w:jc w:val="both"/>
      </w:pPr>
      <w:r>
        <w:rPr>
          <w:rFonts w:ascii="仿宋_GB2312" w:hAnsi="仿宋_GB2312" w:eastAsia="仿宋_GB2312"/>
          <w:b/>
          <w:sz w:val="32"/>
        </w:rPr>
        <w:t>收入支出总体与上年相比，</w:t>
      </w:r>
      <w:r>
        <w:rPr>
          <w:rFonts w:ascii="仿宋_GB2312" w:hAnsi="仿宋_GB2312" w:eastAsia="仿宋_GB2312"/>
          <w:b w:val="0"/>
          <w:sz w:val="32"/>
        </w:rPr>
        <w:t>增加1,713.69万元，增长27.69%，主要原因是：本年在职人员增加，相关人员经费增加，同时增加昌吉州“天山北坡城市群”区域企业VOCS监测监管支撑服务项目、昌吉州65蒸吨以下燃煤锅炉淘汰整治项目（四期）、2025年州生态环境局单位办公用房维修经费、建设用地土壤污染防治调查评估报告审核、生态环境损害赔偿和监测专家服务费、自治区天山北坡城市群大气环境整治工作推进会暨第二季度调度会议费用、自治区第二生态环境保护督察组督察昌吉州期间有关保障费用。</w:t>
      </w:r>
    </w:p>
    <w:p>
      <w:pPr>
        <w:spacing w:line="640" w:lineRule="exact"/>
        <w:ind w:firstLine="640"/>
        <w:jc w:val="both"/>
        <w:outlineLvl w:val="2"/>
      </w:pPr>
      <w:r>
        <w:rPr>
          <w:rFonts w:ascii="黑体" w:hAnsi="黑体" w:eastAsia="黑体"/>
          <w:sz w:val="32"/>
        </w:rPr>
        <w:t>二、收入决算情况说明</w:t>
      </w:r>
    </w:p>
    <w:p>
      <w:pPr>
        <w:spacing w:line="580" w:lineRule="exact"/>
        <w:ind w:firstLine="640"/>
        <w:jc w:val="both"/>
      </w:pPr>
      <w:r>
        <w:rPr>
          <w:rFonts w:ascii="仿宋_GB2312" w:hAnsi="仿宋_GB2312" w:eastAsia="仿宋_GB2312"/>
          <w:b/>
          <w:sz w:val="32"/>
        </w:rPr>
        <w:t>本年收入7,678.00万元，</w:t>
      </w:r>
      <w:r>
        <w:rPr>
          <w:rFonts w:ascii="仿宋_GB2312" w:hAnsi="仿宋_GB2312" w:eastAsia="仿宋_GB2312"/>
          <w:b w:val="0"/>
          <w:sz w:val="32"/>
        </w:rPr>
        <w:t>其中：财政拨款收入7,549.25万元，占98.32%；上级补助收入0.00万元，占0.00%；事业收入0.00万元，占0.00%；经营收入0.00万元，占0.00%；附属单位上缴收入0.00万元，占0.00%；其他收入128.74万元，占1.68%。</w:t>
      </w:r>
    </w:p>
    <w:p>
      <w:pPr>
        <w:spacing w:line="640" w:lineRule="exact"/>
        <w:ind w:firstLine="640"/>
        <w:jc w:val="both"/>
        <w:outlineLvl w:val="2"/>
      </w:pPr>
      <w:r>
        <w:rPr>
          <w:rFonts w:ascii="黑体" w:hAnsi="黑体" w:eastAsia="黑体"/>
          <w:sz w:val="32"/>
        </w:rPr>
        <w:t>三、支出决算情况说明</w:t>
      </w:r>
    </w:p>
    <w:p>
      <w:pPr>
        <w:spacing w:line="580" w:lineRule="exact"/>
        <w:ind w:firstLine="640"/>
        <w:jc w:val="both"/>
      </w:pPr>
      <w:r>
        <w:rPr>
          <w:rFonts w:ascii="仿宋_GB2312" w:hAnsi="仿宋_GB2312" w:eastAsia="仿宋_GB2312"/>
          <w:b/>
          <w:sz w:val="32"/>
        </w:rPr>
        <w:t>本年支出7,638.92万元，</w:t>
      </w:r>
      <w:r>
        <w:rPr>
          <w:rFonts w:ascii="仿宋_GB2312" w:hAnsi="仿宋_GB2312" w:eastAsia="仿宋_GB2312"/>
          <w:b w:val="0"/>
          <w:sz w:val="32"/>
        </w:rPr>
        <w:t>其中：基本支出571.93万元，占7.49%；项目支出7,066.99万元，占92.51%；上缴上级支出0.00万元，占0.00%；经营支出0.00万元，占0.00%；对附属单位补助支出0.00万元，占0.00%。</w:t>
      </w:r>
    </w:p>
    <w:p>
      <w:pPr>
        <w:spacing w:line="640" w:lineRule="exact"/>
        <w:ind w:firstLine="640"/>
        <w:jc w:val="both"/>
        <w:outlineLvl w:val="2"/>
      </w:pPr>
      <w:r>
        <w:rPr>
          <w:rFonts w:ascii="黑体" w:hAnsi="黑体" w:eastAsia="黑体"/>
          <w:sz w:val="32"/>
        </w:rPr>
        <w:t>四、财政拨款收入支出决算总体情况说明</w:t>
      </w:r>
    </w:p>
    <w:p>
      <w:pPr>
        <w:spacing w:line="580" w:lineRule="exact"/>
        <w:ind w:firstLine="640"/>
        <w:jc w:val="both"/>
      </w:pPr>
      <w:r>
        <w:rPr>
          <w:rFonts w:ascii="仿宋_GB2312" w:hAnsi="仿宋_GB2312" w:eastAsia="仿宋_GB2312"/>
          <w:b/>
          <w:sz w:val="32"/>
        </w:rPr>
        <w:t>2025年度财政拨款收入总计7,549.25万元，</w:t>
      </w:r>
      <w:r>
        <w:rPr>
          <w:rFonts w:ascii="仿宋_GB2312" w:hAnsi="仿宋_GB2312" w:eastAsia="仿宋_GB2312"/>
          <w:b w:val="0"/>
          <w:sz w:val="32"/>
        </w:rPr>
        <w:t>其中：年初财政拨款结转和结余0.00万元，本年财政拨款收入7,549.25万元。</w:t>
      </w:r>
      <w:r>
        <w:rPr>
          <w:rFonts w:ascii="仿宋_GB2312" w:hAnsi="仿宋_GB2312" w:eastAsia="仿宋_GB2312"/>
          <w:b/>
          <w:sz w:val="32"/>
        </w:rPr>
        <w:t>财政拨款支出总计7,549.25万元，</w:t>
      </w:r>
      <w:r>
        <w:rPr>
          <w:rFonts w:ascii="仿宋_GB2312" w:hAnsi="仿宋_GB2312" w:eastAsia="仿宋_GB2312"/>
          <w:b w:val="0"/>
          <w:sz w:val="32"/>
        </w:rPr>
        <w:t>其中：年末财政拨款结转和结余0.00万元，本年财政拨款支出7,549.25万元。</w:t>
      </w:r>
    </w:p>
    <w:p>
      <w:pPr>
        <w:spacing w:line="580" w:lineRule="exact"/>
        <w:ind w:firstLine="640"/>
        <w:jc w:val="both"/>
      </w:pPr>
      <w:r>
        <w:rPr>
          <w:rFonts w:ascii="仿宋_GB2312" w:hAnsi="仿宋_GB2312" w:eastAsia="仿宋_GB2312"/>
          <w:b/>
          <w:sz w:val="32"/>
        </w:rPr>
        <w:t>财政拨款收入支出总体与上年相比，</w:t>
      </w:r>
      <w:r>
        <w:rPr>
          <w:rFonts w:ascii="仿宋_GB2312" w:hAnsi="仿宋_GB2312" w:eastAsia="仿宋_GB2312"/>
          <w:b w:val="0"/>
          <w:sz w:val="32"/>
        </w:rPr>
        <w:t>增加1,680.08万元，增长28.63%，主要原因是：本年在职人员增加，相关人员经费增加，同时增加昌吉州“天山北坡城市群”区域企业VOCS监测监管支撑服务项目、昌吉州65蒸吨以下燃煤锅炉淘汰整治项目（四期）、2025年州生态环境局单位办公用房维修经费、建设用地土壤污染防治调查评估报告审核、生态环境损害赔偿和监测专家服务费、自治区天山北坡城市群大气环境整治工作推进会暨第二季度调度会议费用、自治区第二生态环境保护督察组督察昌吉州期间有关保障费用。</w:t>
      </w:r>
      <w:r>
        <w:rPr>
          <w:rFonts w:ascii="仿宋_GB2312" w:hAnsi="仿宋_GB2312" w:eastAsia="仿宋_GB2312"/>
          <w:b/>
          <w:sz w:val="32"/>
        </w:rPr>
        <w:t>与年初预算相比，</w:t>
      </w:r>
      <w:r>
        <w:rPr>
          <w:rFonts w:ascii="仿宋_GB2312" w:hAnsi="仿宋_GB2312" w:eastAsia="仿宋_GB2312"/>
          <w:b w:val="0"/>
          <w:sz w:val="32"/>
        </w:rPr>
        <w:t>年初预算数4,648.70万元，决算数7,549.25万元，预决算差异率62.39%，主要原因是：年中追加昌吉州“天山北坡城市群”区域企业VOCS监测监管支撑服务项目、昌吉州65蒸吨以下燃煤锅炉淘汰整治项目（四期）、2025年州生态环境局单位办公用房维修经费、建设用地土壤污染防治调查评估报告审核、生态环境损害赔偿和监测专家服务费、自治区天山北坡城市群大气环境整治工作推进会暨第二季度调度会议费用、自治区第二生态环境保护督察组督察昌吉州期间有关保障费用等项目，导致预决算存在差异。</w:t>
      </w:r>
    </w:p>
    <w:p>
      <w:pPr>
        <w:spacing w:line="640" w:lineRule="exact"/>
        <w:ind w:firstLine="640"/>
        <w:jc w:val="both"/>
        <w:outlineLvl w:val="2"/>
      </w:pPr>
      <w:r>
        <w:rPr>
          <w:rFonts w:ascii="黑体" w:hAnsi="黑体" w:eastAsia="黑体"/>
          <w:sz w:val="32"/>
        </w:rPr>
        <w:t>五、一般公共预算财政拨款支出决算情况说明</w:t>
      </w:r>
    </w:p>
    <w:p>
      <w:pPr>
        <w:spacing w:line="580" w:lineRule="exact"/>
        <w:ind w:firstLine="640"/>
        <w:jc w:val="both"/>
      </w:pPr>
      <w:r>
        <w:rPr>
          <w:rFonts w:ascii="仿宋_GB2312" w:hAnsi="仿宋_GB2312" w:eastAsia="仿宋_GB2312"/>
          <w:b w:val="0"/>
          <w:sz w:val="32"/>
        </w:rPr>
        <w:t>按照党中央、国务院关于党政机关习惯过紧日子的有关要求，厉行节约办一切事业，严控一般性支出。同时坚持有保有压，优化支出结构，提高资金使用效率，合理保障机构运行、节能环保等重点支出，体现在有关支出科目中。</w:t>
      </w:r>
    </w:p>
    <w:p>
      <w:pPr>
        <w:spacing w:line="580" w:lineRule="exact"/>
        <w:ind w:firstLine="640"/>
        <w:jc w:val="both"/>
      </w:pPr>
      <w:r>
        <w:rPr>
          <w:rFonts w:ascii="仿宋_GB2312" w:hAnsi="仿宋_GB2312" w:eastAsia="仿宋_GB2312"/>
          <w:b w:val="0"/>
          <w:sz w:val="32"/>
        </w:rPr>
        <w:t>按照支出功能分类，节能环保支出（类）污染防治（款）大气（项）的支出占本年财政拨款支出总额的比重最高，2025年度决算数为3,480.18万元，占比46.10%，主要用于昌吉州65蒸吨以下燃煤锅炉淘汰整治项目（四期）、昌吉州大气污染综合治理能力提升项目、昌吉州管控尺度PM2.5精准溯源项目、昌吉州大气污染防治重点区域加密空气质量自动监测站点建设项目。</w:t>
      </w:r>
    </w:p>
    <w:p>
      <w:pPr>
        <w:spacing w:line="640" w:lineRule="exact"/>
        <w:ind w:firstLine="640"/>
        <w:jc w:val="both"/>
        <w:outlineLvl w:val="3"/>
      </w:pPr>
      <w:r>
        <w:rPr>
          <w:rFonts w:ascii="楷体_GB2312" w:hAnsi="楷体_GB2312" w:eastAsia="楷体_GB2312"/>
          <w:b/>
          <w:sz w:val="32"/>
        </w:rPr>
        <w:t>（一）一般公共预算财政拨款支出决算总体情况</w:t>
      </w:r>
    </w:p>
    <w:p>
      <w:pPr>
        <w:spacing w:line="580" w:lineRule="exact"/>
        <w:ind w:firstLine="640"/>
        <w:jc w:val="both"/>
      </w:pPr>
      <w:r>
        <w:rPr>
          <w:rFonts w:ascii="仿宋_GB2312" w:hAnsi="仿宋_GB2312" w:eastAsia="仿宋_GB2312"/>
          <w:b/>
          <w:sz w:val="32"/>
        </w:rPr>
        <w:t>2025年度一般公共预算财政拨款支出7,549.25万元，</w:t>
      </w:r>
      <w:r>
        <w:rPr>
          <w:rFonts w:ascii="仿宋_GB2312" w:hAnsi="仿宋_GB2312" w:eastAsia="仿宋_GB2312"/>
          <w:b w:val="0"/>
          <w:sz w:val="32"/>
        </w:rPr>
        <w:t>占本年支出合计的98.83%。</w:t>
      </w:r>
      <w:r>
        <w:rPr>
          <w:rFonts w:ascii="仿宋_GB2312" w:hAnsi="仿宋_GB2312" w:eastAsia="仿宋_GB2312"/>
          <w:b/>
          <w:sz w:val="32"/>
        </w:rPr>
        <w:t>与上年相比，</w:t>
      </w:r>
      <w:r>
        <w:rPr>
          <w:rFonts w:ascii="仿宋_GB2312" w:hAnsi="仿宋_GB2312" w:eastAsia="仿宋_GB2312"/>
          <w:b w:val="0"/>
          <w:sz w:val="32"/>
        </w:rPr>
        <w:t>增加1,680.08万元，增长28.63%，主要原因是：本年在职人员增加，相关人员经费增加，同时增加昌吉州“天山北坡城市群”区域企业VOCS监测监管支撑服务项目、昌吉州65蒸吨以下燃煤锅炉淘汰整治项目（四期）、2025年州生态环境局单位办公用房维修经费、建设用地土壤污染防治调查评估报告审核、生态环境损害赔偿和监测专家服务费、自治区天山北坡城市群大气环境整治工作推进会暨第二季度调度会议费用、自治区第二生态环境保护督察组督察昌吉州期间有关保障费用。</w:t>
      </w:r>
      <w:r>
        <w:rPr>
          <w:rFonts w:ascii="仿宋_GB2312" w:hAnsi="仿宋_GB2312" w:eastAsia="仿宋_GB2312"/>
          <w:b/>
          <w:sz w:val="32"/>
        </w:rPr>
        <w:t>与年初预算相比，</w:t>
      </w:r>
      <w:r>
        <w:rPr>
          <w:rFonts w:ascii="仿宋_GB2312" w:hAnsi="仿宋_GB2312" w:eastAsia="仿宋_GB2312"/>
          <w:b w:val="0"/>
          <w:sz w:val="32"/>
        </w:rPr>
        <w:t>年初预算数4,648.70万元，决算数7,549.25万元，预决算差异率62.39%，主要原因是：年中追加昌吉州“天山北坡城市群”区域企业VOCS监测监管支撑服务项目、昌吉州65蒸吨以下燃煤锅炉淘汰整治项目（四期）、2025年州生态环境局单位办公用房维修经费、建设用地土壤污染防治调查评估报告审核、生态环境损害赔偿和监测专家服务费、自治区天山北坡城市群大气环境整治工作推进会暨第二季度调度会议费用、自治区第二生态环境保护督察组督察昌吉州期间有关保障费用等项目，导致预决算存在差异。</w:t>
      </w:r>
    </w:p>
    <w:p>
      <w:pPr>
        <w:spacing w:line="640" w:lineRule="exact"/>
        <w:ind w:firstLine="640"/>
        <w:jc w:val="both"/>
        <w:outlineLvl w:val="3"/>
      </w:pPr>
      <w:r>
        <w:rPr>
          <w:rFonts w:ascii="楷体_GB2312" w:hAnsi="楷体_GB2312" w:eastAsia="楷体_GB2312"/>
          <w:b/>
          <w:sz w:val="32"/>
        </w:rPr>
        <w:t>（二）一般公共预算财政拨款支出决算结构情况</w:t>
      </w:r>
    </w:p>
    <w:p>
      <w:pPr>
        <w:spacing w:line="580" w:lineRule="exact"/>
        <w:ind w:firstLine="640"/>
        <w:jc w:val="both"/>
      </w:pPr>
      <w:r>
        <w:rPr>
          <w:rFonts w:ascii="仿宋_GB2312" w:hAnsi="仿宋_GB2312" w:eastAsia="仿宋_GB2312"/>
          <w:b w:val="0"/>
          <w:sz w:val="32"/>
        </w:rPr>
        <w:t>1.一般公共服务支出（类）20.00万元，占0.26%。</w:t>
      </w:r>
    </w:p>
    <w:p>
      <w:pPr>
        <w:spacing w:line="580" w:lineRule="exact"/>
        <w:ind w:firstLine="640"/>
        <w:jc w:val="both"/>
      </w:pPr>
      <w:r>
        <w:rPr>
          <w:rFonts w:ascii="仿宋_GB2312" w:hAnsi="仿宋_GB2312" w:eastAsia="仿宋_GB2312"/>
          <w:b w:val="0"/>
          <w:sz w:val="32"/>
        </w:rPr>
        <w:t>2.社会保障和就业支出（类）84.58万元，占1.12%。</w:t>
      </w:r>
    </w:p>
    <w:p>
      <w:pPr>
        <w:spacing w:line="580" w:lineRule="exact"/>
        <w:ind w:firstLine="640"/>
        <w:jc w:val="both"/>
      </w:pPr>
      <w:r>
        <w:rPr>
          <w:rFonts w:ascii="仿宋_GB2312" w:hAnsi="仿宋_GB2312" w:eastAsia="仿宋_GB2312"/>
          <w:b w:val="0"/>
          <w:sz w:val="32"/>
        </w:rPr>
        <w:t>3.卫生健康支出（类）21.49万元，占0.28%。</w:t>
      </w:r>
    </w:p>
    <w:p>
      <w:pPr>
        <w:spacing w:line="580" w:lineRule="exact"/>
        <w:ind w:firstLine="640"/>
        <w:jc w:val="both"/>
      </w:pPr>
      <w:r>
        <w:rPr>
          <w:rFonts w:ascii="仿宋_GB2312" w:hAnsi="仿宋_GB2312" w:eastAsia="仿宋_GB2312"/>
          <w:b w:val="0"/>
          <w:sz w:val="32"/>
        </w:rPr>
        <w:t>4.节能环保支出（类）7,358.14万元，占97.47%。</w:t>
      </w:r>
    </w:p>
    <w:p>
      <w:pPr>
        <w:spacing w:line="580" w:lineRule="exact"/>
        <w:ind w:firstLine="640"/>
        <w:jc w:val="both"/>
      </w:pPr>
      <w:r>
        <w:rPr>
          <w:rFonts w:ascii="仿宋_GB2312" w:hAnsi="仿宋_GB2312" w:eastAsia="仿宋_GB2312"/>
          <w:b w:val="0"/>
          <w:sz w:val="32"/>
        </w:rPr>
        <w:t>5.资源勘探工业信息等支出（类）9.30万元，占0.12%。</w:t>
      </w:r>
    </w:p>
    <w:p>
      <w:pPr>
        <w:spacing w:line="580" w:lineRule="exact"/>
        <w:ind w:firstLine="640"/>
        <w:jc w:val="both"/>
      </w:pPr>
      <w:r>
        <w:rPr>
          <w:rFonts w:ascii="仿宋_GB2312" w:hAnsi="仿宋_GB2312" w:eastAsia="仿宋_GB2312"/>
          <w:b w:val="0"/>
          <w:sz w:val="32"/>
        </w:rPr>
        <w:t>6.住房保障支出（类）32.23万元，占0.43%。</w:t>
      </w:r>
    </w:p>
    <w:p>
      <w:pPr>
        <w:spacing w:line="580" w:lineRule="exact"/>
        <w:ind w:firstLine="640"/>
        <w:jc w:val="both"/>
      </w:pPr>
      <w:r>
        <w:rPr>
          <w:rFonts w:ascii="仿宋_GB2312" w:hAnsi="仿宋_GB2312" w:eastAsia="仿宋_GB2312"/>
          <w:b w:val="0"/>
          <w:sz w:val="32"/>
        </w:rPr>
        <w:t>7.灾害防治及应急管理支出（类）3.00万元，占0.04%。</w:t>
      </w:r>
    </w:p>
    <w:p>
      <w:pPr>
        <w:spacing w:line="580" w:lineRule="exact"/>
        <w:ind w:firstLine="640"/>
        <w:jc w:val="both"/>
      </w:pPr>
      <w:r>
        <w:rPr>
          <w:rFonts w:ascii="仿宋_GB2312" w:hAnsi="仿宋_GB2312" w:eastAsia="仿宋_GB2312"/>
          <w:b w:val="0"/>
          <w:sz w:val="32"/>
        </w:rPr>
        <w:t>8.其他支出（类）20.51万元，占0.27%。</w:t>
      </w:r>
    </w:p>
    <w:p>
      <w:pPr>
        <w:spacing w:line="640" w:lineRule="exact"/>
        <w:ind w:firstLine="640"/>
        <w:jc w:val="both"/>
        <w:outlineLvl w:val="3"/>
      </w:pPr>
      <w:r>
        <w:rPr>
          <w:rFonts w:ascii="楷体_GB2312" w:hAnsi="楷体_GB2312" w:eastAsia="楷体_GB2312"/>
          <w:b/>
          <w:sz w:val="32"/>
        </w:rPr>
        <w:t>（三）一般公共预算财政拨款支出决算具体情况</w:t>
      </w:r>
    </w:p>
    <w:p>
      <w:pPr>
        <w:spacing w:line="580" w:lineRule="exact"/>
        <w:ind w:firstLine="640"/>
        <w:jc w:val="both"/>
      </w:pPr>
      <w:r>
        <w:rPr>
          <w:rFonts w:ascii="仿宋_GB2312" w:hAnsi="仿宋_GB2312" w:eastAsia="仿宋_GB2312"/>
          <w:b w:val="0"/>
          <w:sz w:val="32"/>
        </w:rPr>
        <w:t>1.一般公共服务支出（类）宣传事务（款）宣传管理（项）：支出决算数为20.00万元，比上年决算减少30.00万元，下降60.00%，主要原因是：本年减少“美丽昌吉”宣传活动经费，导致经费支出减少。</w:t>
      </w:r>
    </w:p>
    <w:p>
      <w:pPr>
        <w:spacing w:line="580" w:lineRule="exact"/>
        <w:ind w:firstLine="640"/>
        <w:jc w:val="both"/>
      </w:pPr>
      <w:r>
        <w:rPr>
          <w:rFonts w:ascii="仿宋_GB2312" w:hAnsi="仿宋_GB2312" w:eastAsia="仿宋_GB2312"/>
          <w:b w:val="0"/>
          <w:sz w:val="32"/>
        </w:rPr>
        <w:t>2.一般公共服务支出（类）其他一般公共服务支出（款）其他一般公共服务支出（项）：支出决算数为0.00万元，比上年决算减少71.19万元，下降100.00%，主要原因是：本年功能科目调整，机关运行补助经费和昌吉州生态环境局办公楼防水维修项目由其他一般公共服务支出（款）其他一般公共服务支出（项）调整至环境保护管理事务（款）一般行政管理事务（项），导致经费支出减少。</w:t>
      </w:r>
    </w:p>
    <w:p>
      <w:pPr>
        <w:spacing w:line="580" w:lineRule="exact"/>
        <w:ind w:firstLine="640"/>
        <w:jc w:val="both"/>
      </w:pPr>
      <w:r>
        <w:rPr>
          <w:rFonts w:ascii="仿宋_GB2312" w:hAnsi="仿宋_GB2312" w:eastAsia="仿宋_GB2312"/>
          <w:b w:val="0"/>
          <w:sz w:val="32"/>
        </w:rPr>
        <w:t>3.社会保障和就业支出（类）行政事业单位养老支出（款）行政单位离退休（项）：支出决算数为24.68万元，比上年决算增加6.33万元，增长34.50%，主要原因是：本年增加退休人员基础绩效奖，退休费支出增加。</w:t>
      </w:r>
    </w:p>
    <w:p>
      <w:pPr>
        <w:spacing w:line="580" w:lineRule="exact"/>
        <w:ind w:firstLine="640"/>
        <w:jc w:val="both"/>
      </w:pPr>
      <w:r>
        <w:rPr>
          <w:rFonts w:ascii="仿宋_GB2312" w:hAnsi="仿宋_GB2312" w:eastAsia="仿宋_GB2312"/>
          <w:b w:val="0"/>
          <w:sz w:val="32"/>
        </w:rPr>
        <w:t>4.社会保障和就业支出（类）行政事业单位养老支出（款）机关事业单位基本养老保险缴费支出（项）：支出决算数为39.93万元，比上年决算减少7.24万元，下降15.35%，主要原因是：本年功能科目调整，养老保险缴费上年度单独列支，本年部分经费调整至主科目列支，导致经费较上年减少。</w:t>
      </w:r>
    </w:p>
    <w:p>
      <w:pPr>
        <w:spacing w:line="580" w:lineRule="exact"/>
        <w:ind w:firstLine="640"/>
        <w:jc w:val="both"/>
      </w:pPr>
      <w:r>
        <w:rPr>
          <w:rFonts w:ascii="仿宋_GB2312" w:hAnsi="仿宋_GB2312" w:eastAsia="仿宋_GB2312"/>
          <w:b w:val="0"/>
          <w:sz w:val="32"/>
        </w:rPr>
        <w:t>5.社会保障和就业支出（类）行政事业单位养老支出（款）机关事业单位职业年金缴费支出（项）：支出决算数为19.97万元，比上年决算减少25.80万元，下降56.37%，主要原因是：本年功能科目调整，机关事业单位职业年金缴费上年度单独列支，本年部分经费调整至主科目列支，导致经费较上年减少。</w:t>
      </w:r>
    </w:p>
    <w:p>
      <w:pPr>
        <w:spacing w:line="580" w:lineRule="exact"/>
        <w:ind w:firstLine="640"/>
        <w:jc w:val="both"/>
      </w:pPr>
      <w:r>
        <w:rPr>
          <w:rFonts w:ascii="仿宋_GB2312" w:hAnsi="仿宋_GB2312" w:eastAsia="仿宋_GB2312"/>
          <w:b w:val="0"/>
          <w:sz w:val="32"/>
        </w:rPr>
        <w:t>6.卫生健康支出（类）行政事业单位医疗（款）行政单位医疗（项）：支出决算数为19.97万元，比上年决算减少3.62万元，下降15.35%，主要原因是：本年功能科目调整，行政单位医疗上年度单独列支，本年部分经费调整至主科目列支，导致经费较上年减少。</w:t>
      </w:r>
    </w:p>
    <w:p>
      <w:pPr>
        <w:spacing w:line="580" w:lineRule="exact"/>
        <w:ind w:firstLine="640"/>
        <w:jc w:val="both"/>
      </w:pPr>
      <w:r>
        <w:rPr>
          <w:rFonts w:ascii="仿宋_GB2312" w:hAnsi="仿宋_GB2312" w:eastAsia="仿宋_GB2312"/>
          <w:b w:val="0"/>
          <w:sz w:val="32"/>
        </w:rPr>
        <w:t>7.卫生健康支出（类）行政事业单位医疗（款）公务员医疗补助（项）：支出决算数为1.25万元，比上年决算减少0.22万元，下降14.97%，主要原因是：本年功能科目调整，公务员医疗补助上年度单独列支，本年部分经费调整至主科目列支，导致经费较上年减少。</w:t>
      </w:r>
    </w:p>
    <w:p>
      <w:pPr>
        <w:spacing w:line="580" w:lineRule="exact"/>
        <w:ind w:firstLine="640"/>
        <w:jc w:val="both"/>
      </w:pPr>
      <w:r>
        <w:rPr>
          <w:rFonts w:ascii="仿宋_GB2312" w:hAnsi="仿宋_GB2312" w:eastAsia="仿宋_GB2312"/>
          <w:b w:val="0"/>
          <w:sz w:val="32"/>
        </w:rPr>
        <w:t>8.卫生健康支出（类）行政事业单位医疗（款）其他行政事业单位医疗支出（项）：支出决算数为0.28万元，比上年决算减少0.08万元，下降22.22%，主要原因是：本年功能科目调整，其他行政事业单位医疗上年度单独列支，本年部分经费调整至主科目列支，导致经费较上年减少。</w:t>
      </w:r>
    </w:p>
    <w:p>
      <w:pPr>
        <w:spacing w:line="580" w:lineRule="exact"/>
        <w:ind w:firstLine="640"/>
        <w:jc w:val="both"/>
      </w:pPr>
      <w:r>
        <w:rPr>
          <w:rFonts w:ascii="仿宋_GB2312" w:hAnsi="仿宋_GB2312" w:eastAsia="仿宋_GB2312"/>
          <w:b w:val="0"/>
          <w:sz w:val="32"/>
        </w:rPr>
        <w:t>9.节能环保支出（类）环境保护管理事务（款）行政运行（项）：支出决算数为430.60万元，比上年决算增加75.73万元，增长21.34%，主要原因是：本年新增在职人员，人员经费增加，导致经费较上年有所增加。部分职业年金缴费、住房公积金、养老保险缴费、医疗经费调整至本科目，导致经费支出增加。</w:t>
      </w:r>
    </w:p>
    <w:p>
      <w:pPr>
        <w:spacing w:line="580" w:lineRule="exact"/>
        <w:ind w:firstLine="640"/>
        <w:jc w:val="both"/>
      </w:pPr>
      <w:r>
        <w:rPr>
          <w:rFonts w:ascii="仿宋_GB2312" w:hAnsi="仿宋_GB2312" w:eastAsia="仿宋_GB2312"/>
          <w:b w:val="0"/>
          <w:sz w:val="32"/>
        </w:rPr>
        <w:t>10.节能环保支出（类）环境保护管理事务（款）一般行政管理事务（项）：支出决算数为96.46万元，比上年决算增加96.46万元，增长100.00%，主要原因是：本年功能科目调整，机关运行补助经费和昌吉州生态环境局办公楼防水维修项目由其他一般公共服务支出（款）其他一般公共服务支出（项）调整至环境保护管理事务（款）一般行政管理事务（项），导致经费支出增加。</w:t>
      </w:r>
    </w:p>
    <w:p>
      <w:pPr>
        <w:spacing w:line="580" w:lineRule="exact"/>
        <w:ind w:firstLine="640"/>
        <w:jc w:val="both"/>
      </w:pPr>
      <w:r>
        <w:rPr>
          <w:rFonts w:ascii="仿宋_GB2312" w:hAnsi="仿宋_GB2312" w:eastAsia="仿宋_GB2312"/>
          <w:b w:val="0"/>
          <w:sz w:val="32"/>
        </w:rPr>
        <w:t>11.节能环保支出（类）环境保护管理事务（款）生态环境保护行政许可（项）：支出决算数为31.40万元，比上年决算增加17.94万元，增长133.28%，主要原因是：本年度根据业务需要，排污许可证核查与审核的经费增加，导致经费较上年增加。</w:t>
      </w:r>
    </w:p>
    <w:p>
      <w:pPr>
        <w:spacing w:line="580" w:lineRule="exact"/>
        <w:ind w:firstLine="640"/>
        <w:jc w:val="both"/>
      </w:pPr>
      <w:r>
        <w:rPr>
          <w:rFonts w:ascii="仿宋_GB2312" w:hAnsi="仿宋_GB2312" w:eastAsia="仿宋_GB2312"/>
          <w:b w:val="0"/>
          <w:sz w:val="32"/>
        </w:rPr>
        <w:t>12.节能环保支出（类）环境保护管理事务（款）其他环境保护管理事务支出（项）：支出决算数为145.67万元，比上年决算增加20.63万元，增长16.50%，主要原因是：本年度安排自治区天山北坡城市群大气环境整治工作推进会暨第二季度调度会议费用、自治区第二生态环境保护督察组督察昌吉州期间有关保障费用项目经费，导致经费较上年增加。</w:t>
      </w:r>
    </w:p>
    <w:p>
      <w:pPr>
        <w:spacing w:line="580" w:lineRule="exact"/>
        <w:ind w:firstLine="640"/>
        <w:jc w:val="both"/>
      </w:pPr>
      <w:r>
        <w:rPr>
          <w:rFonts w:ascii="仿宋_GB2312" w:hAnsi="仿宋_GB2312" w:eastAsia="仿宋_GB2312"/>
          <w:b w:val="0"/>
          <w:sz w:val="32"/>
        </w:rPr>
        <w:t>13.节能环保支出（类）环境监测与监察（款）建设项目环评审查与监督（项）：支出决算数为81.98万元，比上年决算增加3.98万元，增长5.10%，主要原因是：本年度根据业务需要，开展建设环境影响评价技术评估审查项目经费增加，导致经费较上年增加。</w:t>
      </w:r>
    </w:p>
    <w:p>
      <w:pPr>
        <w:spacing w:line="580" w:lineRule="exact"/>
        <w:ind w:firstLine="640"/>
        <w:jc w:val="both"/>
      </w:pPr>
      <w:r>
        <w:rPr>
          <w:rFonts w:ascii="仿宋_GB2312" w:hAnsi="仿宋_GB2312" w:eastAsia="仿宋_GB2312"/>
          <w:b w:val="0"/>
          <w:sz w:val="32"/>
        </w:rPr>
        <w:t>14.节能环保支出（类）污染防治（款）大气（项）：支出决算数为3,480.18万元，比上年决算增加2,019.05万元，增长138.18%，主要原因是：本年度增加昌吉州管控尺度PM2.5精准溯源项目、昌吉州“天山北坡城市群”区域企业VOCS监测监管支撑服务项目、昌吉州65蒸吨以下燃煤锅炉淘汰整治项目（四期），导致较上年增加。</w:t>
      </w:r>
    </w:p>
    <w:p>
      <w:pPr>
        <w:spacing w:line="580" w:lineRule="exact"/>
        <w:ind w:firstLine="640"/>
        <w:jc w:val="both"/>
      </w:pPr>
      <w:r>
        <w:rPr>
          <w:rFonts w:ascii="仿宋_GB2312" w:hAnsi="仿宋_GB2312" w:eastAsia="仿宋_GB2312"/>
          <w:b w:val="0"/>
          <w:sz w:val="32"/>
        </w:rPr>
        <w:t>15.节能环保支出（类）污染防治（款）水体（项）：支出决算数为0.00万元，比上年决算减少11.00万元，下降100.00%，主要原因是：本年度减少昌吉州入河排污口调查项目，导致经费支出减少。</w:t>
      </w:r>
    </w:p>
    <w:p>
      <w:pPr>
        <w:spacing w:line="580" w:lineRule="exact"/>
        <w:ind w:firstLine="640"/>
        <w:jc w:val="both"/>
      </w:pPr>
      <w:r>
        <w:rPr>
          <w:rFonts w:ascii="仿宋_GB2312" w:hAnsi="仿宋_GB2312" w:eastAsia="仿宋_GB2312"/>
          <w:b w:val="0"/>
          <w:sz w:val="32"/>
        </w:rPr>
        <w:t>16.节能环保支出（类）污染防治（款）其他污染防治支出（项）：支出决算数为218.64万元，比上年决算减少189.34万元，下降46.41%，主要原因是：本年减少空气质量国控监测站点选址建设项目，导致经费支出减少。</w:t>
      </w:r>
    </w:p>
    <w:p>
      <w:pPr>
        <w:spacing w:line="580" w:lineRule="exact"/>
        <w:ind w:firstLine="640"/>
        <w:jc w:val="both"/>
      </w:pPr>
      <w:r>
        <w:rPr>
          <w:rFonts w:ascii="仿宋_GB2312" w:hAnsi="仿宋_GB2312" w:eastAsia="仿宋_GB2312"/>
          <w:b w:val="0"/>
          <w:sz w:val="32"/>
        </w:rPr>
        <w:t>17.节能环保支出（类）污染减排（款）生态环境监测与信息（项）：支出决算数为2,873.22万元，比上年决算减少235.04万元，下降7.56%，主要原因是：本年减少昌吉州生态环境保护监管能力提升建设项目经费支出，导致经费支出减少。</w:t>
      </w:r>
    </w:p>
    <w:p>
      <w:pPr>
        <w:spacing w:line="580" w:lineRule="exact"/>
        <w:ind w:firstLine="640"/>
        <w:jc w:val="both"/>
      </w:pPr>
      <w:r>
        <w:rPr>
          <w:rFonts w:ascii="仿宋_GB2312" w:hAnsi="仿宋_GB2312" w:eastAsia="仿宋_GB2312"/>
          <w:b w:val="0"/>
          <w:sz w:val="32"/>
        </w:rPr>
        <w:t>18.资源勘探工业信息等支出（类）制造业（款）通信设备、计算机及其他电子设备制造业（项）：支出决算数为9.30万元，比上年决算增加9.30万元，增长100.00%，主要原因是：本年新增专项业务经费，导致经费支出增加。</w:t>
      </w:r>
    </w:p>
    <w:p>
      <w:pPr>
        <w:spacing w:line="580" w:lineRule="exact"/>
        <w:ind w:firstLine="640"/>
        <w:jc w:val="both"/>
      </w:pPr>
      <w:r>
        <w:rPr>
          <w:rFonts w:ascii="仿宋_GB2312" w:hAnsi="仿宋_GB2312" w:eastAsia="仿宋_GB2312"/>
          <w:b w:val="0"/>
          <w:sz w:val="32"/>
        </w:rPr>
        <w:t>19.住房保障支出（类）住房改革支出（款）住房公积金（项）：支出决算数为32.23万元，比上年决算减少5.11万元，下降13.69%，主要原因是：本年功能科目调整，部分住房公积金调整至行政运行科目列支，导致经费支出减少。</w:t>
      </w:r>
    </w:p>
    <w:p>
      <w:pPr>
        <w:spacing w:line="580" w:lineRule="exact"/>
        <w:ind w:firstLine="640"/>
        <w:jc w:val="both"/>
      </w:pPr>
      <w:r>
        <w:rPr>
          <w:rFonts w:ascii="仿宋_GB2312" w:hAnsi="仿宋_GB2312" w:eastAsia="仿宋_GB2312"/>
          <w:b w:val="0"/>
          <w:sz w:val="32"/>
        </w:rPr>
        <w:t>20.灾害防治及应急管理支出（类）应急管理事务（款）其他应急管理支出（项）：支出决算数为3.00万元，比上年决算增加0.02万元，增长0.67%，主要原因是：本年2025年自治州安全生产补助资金项目增加。</w:t>
      </w:r>
    </w:p>
    <w:p>
      <w:pPr>
        <w:spacing w:line="580" w:lineRule="exact"/>
        <w:ind w:firstLine="640"/>
        <w:jc w:val="both"/>
      </w:pPr>
      <w:r>
        <w:rPr>
          <w:rFonts w:ascii="仿宋_GB2312" w:hAnsi="仿宋_GB2312" w:eastAsia="仿宋_GB2312"/>
          <w:b w:val="0"/>
          <w:sz w:val="32"/>
        </w:rPr>
        <w:t>21.其他支出（类）其他支出（款）其他支出（项）：支出决算数为20.51万元，比上年决算增加9.31万元，增长83.12%，主要原因是：本年度为民办实事工作经费及个人补助经费增加。</w:t>
      </w:r>
    </w:p>
    <w:p>
      <w:pPr>
        <w:spacing w:line="640" w:lineRule="exact"/>
        <w:ind w:firstLine="640"/>
        <w:jc w:val="both"/>
        <w:outlineLvl w:val="2"/>
      </w:pPr>
      <w:r>
        <w:rPr>
          <w:rFonts w:ascii="黑体" w:hAnsi="黑体" w:eastAsia="黑体"/>
          <w:sz w:val="32"/>
        </w:rPr>
        <w:t>六、一般公共预算财政拨款基本支出决算情况说明</w:t>
      </w:r>
    </w:p>
    <w:p>
      <w:pPr>
        <w:spacing w:line="580" w:lineRule="exact"/>
        <w:ind w:firstLine="640"/>
        <w:jc w:val="both"/>
      </w:pPr>
      <w:r>
        <w:rPr>
          <w:rFonts w:ascii="仿宋_GB2312" w:hAnsi="仿宋_GB2312" w:eastAsia="仿宋_GB2312"/>
          <w:b w:val="0"/>
          <w:sz w:val="32"/>
        </w:rPr>
        <w:t>2025年度一般公共预算财政拨款基本支出571.93万元，其中：</w:t>
      </w:r>
      <w:r>
        <w:rPr>
          <w:rFonts w:ascii="仿宋_GB2312" w:hAnsi="仿宋_GB2312" w:eastAsia="仿宋_GB2312"/>
          <w:b/>
          <w:sz w:val="32"/>
        </w:rPr>
        <w:t>人员经费522.61万元，</w:t>
      </w:r>
      <w:r>
        <w:rPr>
          <w:rFonts w:ascii="仿宋_GB2312" w:hAnsi="仿宋_GB2312" w:eastAsia="仿宋_GB2312"/>
          <w:b w:val="0"/>
          <w:sz w:val="32"/>
        </w:rPr>
        <w:t>包括：基本工资、津贴补贴、奖金、机关事业单位基本养老保险缴费、职业年金缴费、职工基本医疗保险缴费、公务员医疗补助缴费、其他社会保障缴费、住房公积金、其他工资福利支出、退休费、生活补助、奖励金。</w:t>
      </w:r>
    </w:p>
    <w:p>
      <w:pPr>
        <w:spacing w:line="580" w:lineRule="exact"/>
        <w:ind w:firstLine="640"/>
        <w:jc w:val="both"/>
      </w:pPr>
      <w:r>
        <w:rPr>
          <w:rFonts w:ascii="仿宋_GB2312" w:hAnsi="仿宋_GB2312" w:eastAsia="仿宋_GB2312"/>
          <w:b/>
          <w:sz w:val="32"/>
        </w:rPr>
        <w:t>公用经费49.32万元，</w:t>
      </w:r>
      <w:r>
        <w:rPr>
          <w:rFonts w:ascii="仿宋_GB2312" w:hAnsi="仿宋_GB2312" w:eastAsia="仿宋_GB2312"/>
          <w:b w:val="0"/>
          <w:sz w:val="32"/>
        </w:rPr>
        <w:t>包括：办公费、水费、电费、邮电费、取暖费、差旅费、公务接待费、工会经费、福利费、公务用车运行维护费、其他商品和服务支出。</w:t>
      </w:r>
    </w:p>
    <w:p>
      <w:pPr>
        <w:spacing w:line="640" w:lineRule="exact"/>
        <w:ind w:firstLine="640"/>
        <w:jc w:val="both"/>
        <w:outlineLvl w:val="2"/>
      </w:pPr>
      <w:r>
        <w:rPr>
          <w:rFonts w:ascii="黑体" w:hAnsi="黑体" w:eastAsia="黑体"/>
          <w:sz w:val="32"/>
        </w:rPr>
        <w:t>七、政府性基金预算财政拨款收入支出决算情况说明</w:t>
      </w:r>
    </w:p>
    <w:p>
      <w:pPr>
        <w:spacing w:line="580" w:lineRule="exact"/>
        <w:ind w:firstLine="640"/>
        <w:jc w:val="both"/>
      </w:pPr>
      <w:r>
        <w:rPr>
          <w:rFonts w:ascii="仿宋_GB2312" w:hAnsi="仿宋_GB2312" w:eastAsia="仿宋_GB2312"/>
          <w:b w:val="0"/>
          <w:sz w:val="32"/>
        </w:rPr>
        <w:t>本单位本年度无政府性基金预算财政拨款收入、支出及结转和结余，政府性基金预算财政拨款收入支出决算表为空表。</w:t>
      </w:r>
    </w:p>
    <w:p>
      <w:pPr>
        <w:spacing w:line="640" w:lineRule="exact"/>
        <w:ind w:firstLine="640"/>
        <w:jc w:val="both"/>
        <w:outlineLvl w:val="2"/>
      </w:pPr>
      <w:r>
        <w:rPr>
          <w:rFonts w:ascii="黑体" w:hAnsi="黑体" w:eastAsia="黑体"/>
          <w:sz w:val="32"/>
        </w:rPr>
        <w:t>八、国有资本经营预算财政拨款收入支出决算情况说明</w:t>
      </w:r>
    </w:p>
    <w:p>
      <w:pPr>
        <w:spacing w:line="580" w:lineRule="exact"/>
        <w:ind w:firstLine="640"/>
        <w:jc w:val="both"/>
      </w:pPr>
      <w:r>
        <w:rPr>
          <w:rFonts w:ascii="仿宋_GB2312" w:hAnsi="仿宋_GB2312" w:eastAsia="仿宋_GB2312"/>
          <w:b w:val="0"/>
          <w:sz w:val="32"/>
        </w:rPr>
        <w:t>本单位本年度无国有资本经营预算财政拨款收入、支出及结转和结余，国有资本经营预算财政拨款收入支出决算表为空表。</w:t>
      </w:r>
    </w:p>
    <w:p>
      <w:pPr>
        <w:spacing w:line="640" w:lineRule="exact"/>
        <w:ind w:firstLine="640"/>
        <w:jc w:val="both"/>
        <w:outlineLvl w:val="2"/>
      </w:pPr>
      <w:r>
        <w:rPr>
          <w:rFonts w:ascii="黑体" w:hAnsi="黑体" w:eastAsia="黑体"/>
          <w:sz w:val="32"/>
        </w:rPr>
        <w:t>九、财政拨款“三公”经费支出决算情况说明</w:t>
      </w:r>
    </w:p>
    <w:p>
      <w:pPr>
        <w:spacing w:line="580" w:lineRule="exact"/>
        <w:ind w:firstLine="640"/>
        <w:jc w:val="both"/>
      </w:pPr>
      <w:r>
        <w:rPr>
          <w:rFonts w:ascii="仿宋_GB2312" w:hAnsi="仿宋_GB2312" w:eastAsia="仿宋_GB2312"/>
          <w:b/>
          <w:sz w:val="32"/>
        </w:rPr>
        <w:t>2025年度财政拨款“三公”经费支出6.09万元，</w:t>
      </w:r>
      <w:r>
        <w:rPr>
          <w:rFonts w:ascii="仿宋_GB2312" w:hAnsi="仿宋_GB2312" w:eastAsia="仿宋_GB2312"/>
          <w:b w:val="0"/>
          <w:sz w:val="32"/>
        </w:rPr>
        <w:t>比上年减少0.20万元，下降3.17%，主要原因是：（1）严格落实中央八项规定精神，厉行节约，减少公务用车运行费。（2）采取有效措施加强公务接待管理，严格控制公务接待活动，认真执行经费开支标准，减少公务接待运行成本费用。</w:t>
      </w:r>
      <w:r>
        <w:rPr>
          <w:rFonts w:ascii="仿宋_GB2312" w:hAnsi="仿宋_GB2312" w:eastAsia="仿宋_GB2312"/>
          <w:b w:val="0"/>
          <w:sz w:val="32"/>
        </w:rPr>
        <w:t>其中：因公出国（境）费用支出0.00万元，占0.00%，比上年增加0.00万元，增长0.00%，主要原因是：2024年与2025年均无因公出国（境）费用支出。</w:t>
      </w:r>
      <w:r>
        <w:rPr>
          <w:rFonts w:ascii="仿宋_GB2312" w:hAnsi="仿宋_GB2312" w:eastAsia="仿宋_GB2312"/>
          <w:b w:val="0"/>
          <w:sz w:val="32"/>
        </w:rPr>
        <w:t>公务用车购置及运行维护费支出5.83万元，占95.73%，比上年减少0.17万元，下降2.83%，主要原因是：严格落实中央八项规定精神，厉行节约，减少公务用车运行维护费。</w:t>
      </w:r>
      <w:r>
        <w:rPr>
          <w:rFonts w:ascii="仿宋_GB2312" w:hAnsi="仿宋_GB2312" w:eastAsia="仿宋_GB2312"/>
          <w:b w:val="0"/>
          <w:sz w:val="32"/>
        </w:rPr>
        <w:t>公务接待费支出0.27万元，占4.43%，比上年减少0.03万元，下降10.00%，主要原因是：严格落实中央八项规定精神，厉行节约，减少公务接待费。</w:t>
      </w:r>
    </w:p>
    <w:p>
      <w:pPr>
        <w:spacing w:line="580" w:lineRule="exact"/>
        <w:ind w:firstLine="640"/>
        <w:jc w:val="both"/>
      </w:pPr>
      <w:r>
        <w:rPr>
          <w:rFonts w:ascii="仿宋_GB2312" w:hAnsi="仿宋_GB2312" w:eastAsia="仿宋_GB2312"/>
          <w:b/>
          <w:sz w:val="32"/>
        </w:rPr>
        <w:t>具体情况如下：</w:t>
      </w:r>
    </w:p>
    <w:p>
      <w:pPr>
        <w:spacing w:line="580" w:lineRule="exact"/>
        <w:ind w:firstLine="640"/>
        <w:jc w:val="both"/>
      </w:pPr>
      <w:r>
        <w:rPr>
          <w:rFonts w:ascii="仿宋_GB2312" w:hAnsi="仿宋_GB2312" w:eastAsia="仿宋_GB2312"/>
          <w:b w:val="0"/>
          <w:sz w:val="32"/>
        </w:rPr>
        <w:t>因公出国（境）费用0.00万元，开支内容包括本单位无因公出国（境）费用。单位全年安排的因公出国（境）团组0个，因公出国（境）0人次。</w:t>
      </w:r>
    </w:p>
    <w:p>
      <w:pPr>
        <w:spacing w:line="580" w:lineRule="exact"/>
        <w:ind w:firstLine="640"/>
        <w:jc w:val="both"/>
      </w:pPr>
      <w:r>
        <w:rPr>
          <w:rFonts w:ascii="仿宋_GB2312" w:hAnsi="仿宋_GB2312" w:eastAsia="仿宋_GB2312"/>
          <w:b w:val="0"/>
          <w:sz w:val="32"/>
        </w:rPr>
        <w:t>公务用车购置及运行维护费5.83万元，其中：公务用车购置费0.00万元，公务用车运行维护费5.83万元。公务用车运行维护费开支内容包括车辆加油费、维修费、保险费、审车费、过路费等。公务用车购置数0辆，公务用车保有量2辆。国有资产占用情况中固定资产车辆2辆，与公务用车保有量差异原因是：本单位公务用车保有量与固定资产车辆一致无差异。</w:t>
      </w:r>
    </w:p>
    <w:p>
      <w:pPr>
        <w:spacing w:line="580" w:lineRule="exact"/>
        <w:ind w:firstLine="640"/>
        <w:jc w:val="both"/>
      </w:pPr>
      <w:r>
        <w:rPr>
          <w:rFonts w:ascii="仿宋_GB2312" w:hAnsi="仿宋_GB2312" w:eastAsia="仿宋_GB2312"/>
          <w:b w:val="0"/>
          <w:sz w:val="32"/>
        </w:rPr>
        <w:t>公务接待费0.27万元，开支内容包括因生态司来我州调研及生态环境部华北站慰问援疆干部产生的就餐费。单位全年安排的国内公务接待2批次，25人次。</w:t>
      </w:r>
    </w:p>
    <w:p>
      <w:pPr>
        <w:spacing w:line="580" w:lineRule="exact"/>
        <w:ind w:firstLine="640"/>
        <w:jc w:val="both"/>
      </w:pPr>
      <w:r>
        <w:rPr>
          <w:rFonts w:ascii="仿宋_GB2312" w:hAnsi="仿宋_GB2312" w:eastAsia="仿宋_GB2312"/>
          <w:b/>
          <w:sz w:val="32"/>
        </w:rPr>
        <w:t>与全年预算相比，</w:t>
      </w:r>
      <w:r>
        <w:rPr>
          <w:rFonts w:ascii="仿宋_GB2312" w:hAnsi="仿宋_GB2312" w:eastAsia="仿宋_GB2312"/>
          <w:b w:val="0"/>
          <w:sz w:val="32"/>
        </w:rPr>
        <w:t>财政拨款“三公”经费支出全年预算数6.39万元，决算数6.09万元，预决算差异率-4.69%，主要原因是：（1）严格落实中央八项规定精神，厉行节约，减少公务用车使用频次，燃油费减少。（2）严格控制公务接待活动，认真执行经费开支标准，减少公务接待运行成本费用。其中：因公出国（境）费用全年预算数0.00万元，决算数0.00万元，预决算差异率0.00%，主要原因是：本单位无因公出国（境）费用。公务用车购置费全年预算数0.00万元，决算数0.00万元，预决算差异率0.00%，主要原因是：本单位无公务用车购置费。公务用车运行维护费全年预算数6.00万元，决算数5.83万元，预决算差异率-2.83%，主要原因是：严格落实中央八项规定精神，厉行节约，减少经费支出。公务接待费全年预算数0.39万元，决算数0.27万元，预决算差异率-30.77%，主要原因是：严格控制公务接待活动，认真执行经费开支标准，减少公务接待运行成本费用。</w:t>
      </w:r>
    </w:p>
    <w:p>
      <w:pPr>
        <w:spacing w:line="640" w:lineRule="exact"/>
        <w:ind w:firstLine="640"/>
        <w:jc w:val="both"/>
        <w:outlineLvl w:val="2"/>
      </w:pPr>
      <w:r>
        <w:rPr>
          <w:rFonts w:ascii="黑体" w:hAnsi="黑体" w:eastAsia="黑体"/>
          <w:sz w:val="32"/>
        </w:rPr>
        <w:t>十、其他重要事项的情况说明</w:t>
      </w:r>
    </w:p>
    <w:p>
      <w:pPr>
        <w:spacing w:line="640" w:lineRule="exact"/>
        <w:ind w:firstLine="640"/>
        <w:jc w:val="both"/>
        <w:outlineLvl w:val="3"/>
      </w:pPr>
      <w:r>
        <w:rPr>
          <w:rFonts w:ascii="楷体_GB2312" w:hAnsi="楷体_GB2312" w:eastAsia="楷体_GB2312"/>
          <w:b/>
          <w:sz w:val="32"/>
        </w:rPr>
        <w:t>（一）机关运行经费及公用经费支出情况</w:t>
      </w:r>
    </w:p>
    <w:p>
      <w:pPr>
        <w:spacing w:line="580" w:lineRule="exact"/>
        <w:ind w:firstLine="640"/>
        <w:jc w:val="both"/>
      </w:pPr>
      <w:r>
        <w:rPr>
          <w:rFonts w:ascii="仿宋_GB2312" w:hAnsi="仿宋_GB2312" w:eastAsia="仿宋_GB2312"/>
          <w:b w:val="0"/>
          <w:sz w:val="32"/>
        </w:rPr>
        <w:t>2025年度昌吉回族自治州生态环境局（行政单位和参照公务员法管理事业单位）机关运行经费支出49.32万元，比上年增加2.75万元，增长5.91%，主要原因是：本年差旅费增加，导致办公费用增加。</w:t>
      </w:r>
    </w:p>
    <w:p>
      <w:pPr>
        <w:spacing w:line="640" w:lineRule="exact"/>
        <w:ind w:firstLine="640"/>
        <w:jc w:val="both"/>
        <w:outlineLvl w:val="3"/>
      </w:pPr>
      <w:r>
        <w:rPr>
          <w:rFonts w:ascii="楷体_GB2312" w:hAnsi="楷体_GB2312" w:eastAsia="楷体_GB2312"/>
          <w:b/>
          <w:sz w:val="32"/>
        </w:rPr>
        <w:t>（二）政府采购情况</w:t>
      </w:r>
    </w:p>
    <w:p>
      <w:pPr>
        <w:spacing w:line="580" w:lineRule="exact"/>
        <w:ind w:firstLine="640"/>
        <w:jc w:val="both"/>
      </w:pPr>
      <w:r>
        <w:rPr>
          <w:rFonts w:ascii="仿宋_GB2312" w:hAnsi="仿宋_GB2312" w:eastAsia="仿宋_GB2312"/>
          <w:b w:val="0"/>
          <w:sz w:val="32"/>
        </w:rPr>
        <w:t>2025年度政府采购支出总额1,254.83万元，其中：政府采购货物支出2.59万元、政府采购工程支出0.50万元、政府采购服务支出1,251.74万元。</w:t>
      </w:r>
    </w:p>
    <w:p>
      <w:pPr>
        <w:spacing w:line="580" w:lineRule="exact"/>
        <w:ind w:firstLine="640"/>
        <w:jc w:val="both"/>
      </w:pPr>
      <w:r>
        <w:rPr>
          <w:rFonts w:ascii="仿宋_GB2312" w:hAnsi="仿宋_GB2312" w:eastAsia="仿宋_GB2312"/>
          <w:b w:val="0"/>
          <w:sz w:val="32"/>
        </w:rPr>
        <w:t>授予中小企业合同金额1,254.83万元，占政府采购支出总额的100.00%，其中：授予小微企业合同金额1,254.83万元，占政府采购支出总额的100.00%。</w:t>
      </w:r>
    </w:p>
    <w:p>
      <w:pPr>
        <w:spacing w:line="640" w:lineRule="exact"/>
        <w:ind w:firstLine="640"/>
        <w:jc w:val="both"/>
        <w:outlineLvl w:val="3"/>
      </w:pPr>
      <w:r>
        <w:rPr>
          <w:rFonts w:ascii="楷体_GB2312" w:hAnsi="楷体_GB2312" w:eastAsia="楷体_GB2312"/>
          <w:b/>
          <w:sz w:val="32"/>
        </w:rPr>
        <w:t>（三）国有资产占用情况说明</w:t>
      </w:r>
    </w:p>
    <w:p>
      <w:pPr>
        <w:spacing w:line="580" w:lineRule="exact"/>
        <w:ind w:firstLine="640"/>
        <w:jc w:val="both"/>
      </w:pPr>
      <w:r>
        <w:rPr>
          <w:rFonts w:ascii="仿宋_GB2312" w:hAnsi="仿宋_GB2312" w:eastAsia="仿宋_GB2312"/>
          <w:b w:val="0"/>
          <w:sz w:val="32"/>
        </w:rPr>
        <w:t>截至2025年12月31日，房屋7,887.62平方米，价值3,731.17万元。车辆2辆，价值31.56万元，其中：副部（省）级及以上领导用车0辆、主要负责人用车0辆、机要通信用车0辆、应急保障用车0辆、执法执勤用车0辆、特种专业技术用车0辆、离退休干部服务用车0辆、其他用车2辆，其他用车主要是：一般公务用车。单价100万元（含）以上设备（不含车辆）10台（套）。</w:t>
      </w:r>
    </w:p>
    <w:p>
      <w:pPr>
        <w:spacing w:line="640" w:lineRule="exact"/>
        <w:ind w:firstLine="640"/>
        <w:jc w:val="both"/>
        <w:outlineLvl w:val="2"/>
      </w:pPr>
      <w:r>
        <w:rPr>
          <w:rFonts w:ascii="黑体" w:hAnsi="黑体" w:eastAsia="黑体"/>
          <w:sz w:val="32"/>
        </w:rPr>
        <w:t>十一、预算绩效的情况说明</w:t>
      </w:r>
    </w:p>
    <w:p>
      <w:pPr>
        <w:spacing w:line="580" w:lineRule="exact"/>
        <w:ind w:firstLine="640"/>
        <w:jc w:val="both"/>
      </w:pPr>
      <w:r>
        <w:rPr>
          <w:rFonts w:ascii="仿宋_GB2312" w:hAnsi="仿宋_GB2312" w:eastAsia="仿宋_GB2312"/>
          <w:b w:val="0"/>
          <w:sz w:val="32"/>
        </w:rPr>
        <w:t>根据预算绩效管理要求，本单位2025年度预算绩效管理形成整体支出绩效自评表1个，全年预算总额7,901.63万元，实际执行总额7,638.92万元；预算绩效评价项目24个，全年预算数4,361.94万元，全年执行数4,251.88万元。预算绩效管理取得的成效：一是向相关方提供财政支出绩效方面的重要信息，帮助昌吉州人民政府做出合理的资源配置决定，提高决策水平；二是为财政支出运行提供及时、有效的信息，帮助昌吉州人民政府财经领导小组改进财政支出管理，从而提高财政资金的使用绩效。发现的问题及原因：一是我单位部门整体绩效指标设置不科学、不合理，部分目标与部门核心职能（如污染防治、生态保护）结合度不高，存在泛化现象。原因是对绩效目标编制的重要性认识不足，未能将单位履职效能转化为具体、可衡量的产出与结果；二是部分项目支出进度与项目实施进度不匹配，造成执行偏差，影响项目实施成效与预算绩效管理质效。原因是预算绩效管理链条断裂，各科室之间协同配合不够紧密，信息沟通不畅；三是我单位涉及污染治理、监测运维等专项领域较多，前期谋划不充分，部分项目前期调研、方案设计、招投标流程推进缓慢，导致资金无法按计划及时支付。原因是对项目谋划的必要性、紧迫性认识不到位，忽视前期基础工作的重要性。下一步改进措施：一是加强预算绩效目标管理工作。明确预算项目绩效目标编制要求，结合年度生态环境保护重点工作，科学设定涵盖“产出指标”和“效益指标”的量化指标；二是财务部门与业务部门定期对接，全面分析预算执行进度，对偏离度较大的项目及时预警，提前制定应对方案，进一步推动预算绩效管理工作；三是树立提前谋划、统筹推进、全程监控的项目管理理念，明确项目谋划的重要性，压实各业务科室主体责任，同时加强业务人员培训，提升项目谋划、前期手续办理、方案编制等业务能力，全面提升项目前期工作质效。具体附整体支出绩效自评表、项目支出绩效自评表及项目支出绩效评价报告。</w:t>
      </w:r>
    </w:p>
    <w:p>
      <w:r>
        <w:br w:type="page"/>
      </w:r>
    </w:p>
    <w:tbl>
      <w:tblPr>
        <w:tblW w:type="pct" w:w="5000"/>
        <w:tblLayout w:type="fixed"/>
        <w:tblLook w:firstColumn="1" w:firstRow="1" w:lastColumn="0" w:lastRow="0" w:noHBand="0" w:noVBand="1" w:val="04A0"/>
        <w:tblCellMar>
          <w:top w:w="36" w:type="dxa"/>
          <w:left w:w="36" w:type="dxa"/>
          <w:bottom w:w="36" w:type="dxa"/>
          <w:right w:w="36" w:type="dxa"/>
        </w:tblCellMar>
      </w:tblPr>
      <w:tblGrid>
        <w:gridCol w:w="477"/>
        <w:gridCol w:w="1187"/>
        <w:gridCol w:w="1256"/>
        <w:gridCol w:w="1226"/>
        <w:gridCol w:w="994"/>
        <w:gridCol w:w="1032"/>
        <w:gridCol w:w="794"/>
        <w:gridCol w:w="935"/>
        <w:gridCol w:w="942"/>
      </w:tblGrid>
      <w:tr>
        <w:trPr>
          <w:trHeight w:val="522"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部门（单位）整体支出绩效目标自评表</w:t>
            </w:r>
          </w:p>
        </w:tc>
      </w:tr>
      <w:tr>
        <w:trPr>
          <w:trHeight w:val="360" w:hRule="atLeast"/>
          <w:cantSplit/>
        </w:trPr>
        <w:tc>
          <w:tcPr>
            <w:tcW w:type="dxa" w:w="983"/>
            <w:gridSpan w:val="9"/>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66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部门（单位）名称</w:t>
            </w:r>
          </w:p>
        </w:tc>
        <w:tc>
          <w:tcPr>
            <w:tcW w:type="dxa" w:w="98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57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部门资金（万元）</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资金来源</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年初预算数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全年预算数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全年执行数</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得分</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上级资金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1,008.30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4,585.92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4,585.92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本级资金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3,640.40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2,963.33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2,963.33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其他资金</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352.38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89.67</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r>
      <w:tr>
        <w:trPr>
          <w:trHeight w:val="880" w:hRule="atLeast"/>
          <w:cantSplit/>
        </w:trPr>
        <w:tc>
          <w:tcPr>
            <w:tcW w:type="dxa" w:w="983"/>
            <w:gridSpan w:val="2"/>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合计</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4,678.70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7,901.63</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7,638.92</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96.68%</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9.67</w:t>
            </w:r>
          </w:p>
        </w:tc>
      </w:tr>
      <w:tr>
        <w:trPr>
          <w:trHeight w:val="705"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年度总体目标</w:t>
            </w: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预期目标</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实际完成情况</w:t>
            </w:r>
          </w:p>
        </w:tc>
      </w:tr>
      <w:tr>
        <w:trPr>
          <w:trHeight w:val="2000" w:hRule="atLeast"/>
        </w:trPr>
        <w:tc>
          <w:tcPr>
            <w:tcW w:type="dxa" w:w="983"/>
            <w:gridSpan w:val="2"/>
            <w:vMerge/>
            <w:tcBorders>
              <w:start w:sz="10" w:val="single"/>
              <w:top w:sz="10" w:val="single"/>
              <w:end w:sz="10" w:val="single"/>
              <w:bottom w:sz="10" w:val="single"/>
              <w:insideV w:sz="10" w:val="single"/>
            </w:tcBorders>
          </w:tcPr>
          <w:p/>
        </w:tc>
        <w:tc>
          <w:tcPr>
            <w:tcW w:type="dxa" w:w="983"/>
            <w:gridSpan w:val="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坚持以习近平新时代中国特色社会主义思想特别是习近平生态文明思想为指导，全面贯彻党的二十大和二十届二中、三中全会精神，贯彻落实全国生态环境保护大会和习近平总书记关于生态环境保护的重要讲话重要指示批示精神，全面落实自治区党委十届、州党委十二届历次全会工作部署，牢固树立“两山”理念，编制全州生态环境保护“十五五”专项规划，坚持“全领域转型、全方位提升、全地域建设、全社会行动”工作思路，起草制定《全面推进美丽昌吉建设阶段性（2025-2027年）攻坚行动方案》，统筹推动全州经济社会全面绿色低碳转型，以高品质生态环境支撑高质量发展，加快形成以实现人与自然和谐共生现代化为导向的美丽昌吉建设新格局，筑牢建设“典范地州”的生态根基。</w:t>
            </w:r>
          </w:p>
        </w:tc>
        <w:tc>
          <w:tcPr>
            <w:tcW w:type="dxa" w:w="98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我单位全年预算数为7901.63万元，全年执行数为7638.92万元，总预算执行率为96.68%。2025年我单位完成以下工作内容：1.出具排放改造帮扶指导意见表15份；2.出具昌吉州管控尺度PM2.5精准溯源项目报告1份；3.建设加密空气质量自动监测站点10个；4.完成第二轮中央生态环境保护督察整改任务6项。通过以上工作的实施，推动了全州经济社会全面绿色低碳转型，以高品质生态环境支撑高质量发展，加快形成了以实现人与自然和谐共生现代化为导向的美丽昌吉建设新格局。</w:t>
            </w:r>
          </w:p>
        </w:tc>
      </w:tr>
      <w:tr>
        <w:trPr>
          <w:trHeight w:val="580" w:hRule="atLeast"/>
          <w:cantSplit/>
        </w:trPr>
        <w:tc>
          <w:tcPr>
            <w:tcW w:type="dxa" w:w="983"/>
            <w:gridSpan w:val="2"/>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一级指标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二级指标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三级指标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预期指标值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指标值设定依据</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分值权重</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实际完成指标值</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得分</w:t>
            </w:r>
          </w:p>
        </w:tc>
      </w:tr>
      <w:tr>
        <w:trPr>
          <w:trHeight w:val="740" w:hRule="atLeast"/>
          <w:cantSplit/>
        </w:trPr>
        <w:tc>
          <w:tcPr>
            <w:tcW w:type="dxa" w:w="98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履职效能</w:t>
            </w:r>
          </w:p>
        </w:tc>
        <w:tc>
          <w:tcPr>
            <w:tcW w:type="dxa" w:w="98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出具排放改造帮扶指导意见表</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&gt;=15份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根据关于印发《昌吉州“乌-昌-石”区域大气污染防治2023年攻坚行动方案》的通知（昌州党办发【2023】14号）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出具昌吉州管控尺度PM2.5精准溯源项目报告</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根据关于印发《昌吉州“乌-昌-石”区域大气污染防治2023年攻坚行动方案》的通知（昌州党办发【2023】14号）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建设加密空气质量自动监测站点数量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根据关于印发《昌吉州“乌-昌-石”区域大气污染防治2023年攻坚行动方案》的通知（昌州党办发【2023】14号）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r>
      <w:tr>
        <w:trPr>
          <w:trHeight w:val="740" w:hRule="atLeast"/>
          <w:cantSplit/>
        </w:trPr>
        <w:tc>
          <w:tcPr>
            <w:tcW w:type="dxa" w:w="983"/>
            <w:gridSpan w:val="2"/>
            <w:vMerge/>
            <w:tcBorders>
              <w:start w:sz="10" w:val="single"/>
              <w:top w:sz="10" w:val="single"/>
              <w:end w:sz="10" w:val="single"/>
              <w:bottom w:sz="10" w:val="single"/>
              <w:insideV w:sz="10" w:val="single"/>
            </w:tcBorders>
          </w:tcPr>
          <w:p/>
        </w:tc>
        <w:tc>
          <w:tcPr>
            <w:tcW w:type="dxa" w:w="983"/>
            <w:vMerge/>
            <w:tcBorders>
              <w:start w:sz="10" w:val="single"/>
              <w:top w:sz="10" w:val="single"/>
              <w:end w:sz="10" w:val="single"/>
              <w:bottom w:sz="10" w:val="single"/>
              <w:insideV w:sz="10" w:val="single"/>
            </w:tcBorders>
          </w:tcP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完成第二轮中央生态环境保护督察整改任务数量</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&gt;=6项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根据《关于印发&lt;自治区中央生态环境保护督察整改验收销号办法&gt;等六项配套制度和办法的通知》（新环整改办〔2022〕2号）</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=6项</w:t>
            </w:r>
          </w:p>
        </w:tc>
        <w:tc>
          <w:tcPr>
            <w:tcW w:type="dxa" w:w="98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w:t>
            </w:r>
          </w:p>
        </w:tc>
      </w:tr>
    </w:tbl>
    <w:p>
      <w:r>
        <w:br w:type="page"/>
      </w:r>
    </w:p>
    <w:p>
      <w:pPr>
        <w:sectPr>
          <w:footerReference r:id="rId3" w:type="default"/>
          <w:pgSz w:w="11906" w:h="16838"/>
          <w:pgMar w:top="2098" w:right="1531" w:bottom="1985" w:left="1531" w:header="851" w:footer="992" w:gutter="0"/>
          <w:cols w:space="720" w:num="1"/>
          <w:docGrid w:type="lines" w:linePitch="312" w:charSpace="0"/>
        </w:sectPr>
      </w:pP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2025年州生态环境局单位办公用房维修经费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2025年计划完成维修直面埋电力电缆面积≥130平方米，完成拆除及恢复沥青面积≥52平方米，完成拆除及恢复透水砖混凝土路面面积≥52平方米，验收合格率100%；于2025年8月10日之前完成该项目；完成维修直埋电力电缆费用等5万元；完成拆除及恢复沥青、透水砖混凝土路面面积费用等5万元；为职工创造舒适的就餐环境，职工的满意度达到95%。该项目的实施对提升食堂用能安全，降低燃气事故风险，推动绿色低碳发展起到了很大的作用。通过实施食堂低压电缆安装工程，电能替代彻底摆脱明火，从源头消除了火灾和爆炸的安全隐患，提高了食堂的安全性；改电能从有长远看成本通常低于乙醇，实现节约成本。电能作为清洁能源，使用过程中不产生有害气体和烟尘，减少污染物排放，改善了厨房环境和大气的质量。电能操作简便，温度控制精准，能够提高烹饪效率，使饭菜制作速度更快，食品质量更稳定。</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9.8万元，预算执行率98%。完成维修直面埋电力电缆面积130平方米，完成拆除及恢复沥青面积52平方米，完成拆除及恢复透水砖混凝土路面面积52平方米，验收合格率100%。该项目的实施对提升食堂用能安全，降低燃气事故风险，推动绿色低碳发展起到了很大的作用。通过实施食堂低压电缆安装工程，电能替代彻底摆脱明火，从源头消除了火灾和爆炸的安全隐患，提高了食堂的安全性；改电能从有长远看成本通常低于乙醇，实现节约成本。电能作为清洁能源，使用过程中不产生有害气体和烟尘，减少污染物排放，改善了厨房环境和大气的质量。电能操作简便，温度控制精准，能够提高烹饪效率，使饭菜制作速度更快，食品质量更稳定。</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维修直埋电力电缆面积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&gt;=130平方米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=130平方米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拆除及恢复沥青面积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&gt;=52平方米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拆除及恢复透水砖混凝土路面面积</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&gt;=52平方米</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=52平方米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维修直埋电力电缆费用等</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此项指标已完成，存在偏差，偏差率为4%，偏差原因为项目人员严格按照合同约定支付款项，导致实际支出较预算有结余。下一年度改进措施：提高预算编制准确性，确保后续各类项目严格按照预算进行支出。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拆除及恢复沥青、透水砖混凝土路面面积费用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提高职工就餐环境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职工的满意度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5.26%。偏差原因：我单位设定该满意度目标时，秉持审慎原则，结合2025年州生态环境局单位办公用房维修经费项目需求，重点保障维修经费精准投放、办公用房维修工作高效落地，聚焦职工办公需求，重点解决办公用房破损、功能不完善等问题，满足职工基本办公环境需求，未充分预估维修质量提升、维修效率优化、办公环境改善后带来的良好反馈，导致实际职工满意度高于预期。下一年度改进措施：总结本次办公用房维修工作及经费使用经验，结合职工反馈，优化维修方案、提升维修质量，适当上调职工满意度目标，合理调配维修经费，充分发挥经费保障作用，持续改善职工办公环境，提升职工工作舒适度和满意度，助力生态环境各项工作高效推进。</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99.50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2025年自治州安全生产补助资金</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3万元。项目计划开展专家帮扶指导安全检查30次，检查企业40家。通过本项目实施，进一步提高安全管理水平，加大安全标准化建设力度，加强安全监督，杜绝安全事故的发生，确保无安全事故管理目标的实现。</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3万元，资金执行率100%，本项目实际完成了专家帮扶指导安全检查42次，检查企业42家。通过本项目实施，进一步提高安全管理水平，加大安全标准化建设力度，加强安全监督，杜绝安全事故的发生，确保无安全事故管理目标的实现。</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专家帮扶指导安全检查次数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超额完成，存在偏差，偏差率为40%，偏差原因为风险源企业名录动态更新，实际年度内企业排查数量超出前期预估，为保障区域产业项目落地建设需求，我们统筹调配审批力量、优化审批流程，高效完成了全部合规申报项目的审批工作。下一年度改进措施：总结本次项目的成功经验，在编制下一年度绩效目标时，结合实际执行能力，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检查企业数量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&gt;=40家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=42家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超额完成，存在偏差，偏差率为5%，偏差原因为风险源企业名录动态更新，实际年度内企业排查数量超出前期预估，为保障区域产业项目落地建设需求，我们统筹调配审批力量、优化审批流程，高效完成了全部合规申报项目的审批工作。下一年度改进措施：总结本次项目的成功经验，在编制下一年度绩效目标时，结合实际执行能力，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专家反馈意见采用率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安全检查聘请副高级及以上专家费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&lt;=1000元/天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=1000元/天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保障生态环境安全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帮扶企业满意度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103.15%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此项指标已超额完成，存在偏差，偏差率为3.15%，偏差原因为： 我单位在设定本年度满意度目标时，秉持审慎性原则，充分考虑各类潜在风险因素，设定了≥95%的保守目标值，未充分预估实际服务过程中的优化空间，导致实际完成值与目标值出现偏差；下一年度改进措施：总结本次项目的成功经验，在编制下一年度绩效目标时，结合实际执行能力，确保绩效目标的科学性和先进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95.50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“丝路同源·智惠闽昌”昌吉州“推动高质量发展 建设美丽昌吉”专题培训班</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本项目本年拟投入16.8万元，计划在中共宁德市委党校举办“丝路同源·智惠闽昌”昌吉州“推动高质量发展 建设美丽昌吉”专题培训班1期，培训人数35人，培训时间为2025年7月31日至8月8日，学制8天，通过项目的实施，提升全州生态环境保护能力和水平，强化主体责任，更好地服务和助力昌吉州生态环境保护和绿色经济发展现代化。。</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截至2025年12月31日，本项目支出资金16.8万元，资金执行率100%，本项目实际完成在中共宁德市委党校举办“丝路同源·智惠闽昌”昌吉州“推动高质量发展 建设美丽昌吉”专题培训班1期，培训人数35人，培训时间为2025年7月31日至8月8日，学制8天，通过项目的实施，提升全州生态环境保护能力和水平，强化主体责任，更好地服务和助力昌吉州生态环境保护和绿色经济发展现代化。</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举办“丝路同源·智惠闽昌”昌吉州“推动高质量发展 建设美丽昌吉”专题培训班</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参加培训人数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举办培训天数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人员培训出勤率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培训工作完成及时性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人均培训标准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&lt;=600元/人/天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=600元/人/天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提升全州生态环境保护能力和水平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培训人员满意度（%）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此项指标已超额完成，存在偏差，偏差率为5.26%，偏差原因为：培训人员满意度依托调研数据，超额完成。下一年度改进措施：结合实际执行能力，确保绩效目标的科学性和先进性。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“美丽昌吉”宣传活动</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完成六五环境日宣传活动1次；征订《中国环境报》、购买业务书籍60本、份；报纸版面宣传、新媒体宣传40份；邀请专家授课、外出培训等不少于5人次；采购质量合格率达到95%；2025年11月30日前完成六五环境日宣传活动；报纸版面宣传、新媒体宣传、制作宣传品16.66万元；征订《中国环境报》、购买业务书籍2.34万元；提高了公众了解生态环境保护相关法律法规；征求群众对生态环境保护宣传工作的满意度达到90%。为推动习近平生态文明思想深入基层、深入企业、深入群众，深入贯彻全国生态环境保护大会精神，落实《中共中央 国务院关于全面推进美丽中国建设的意见》《关于深入开展“美丽中国，我是行动者”系列活动工作方案》《“美丽中国，志愿有我”生态环境志愿服务实施方案（2025-2027年）》要求，稳步推进美丽中国建设全民行动，更好地汇聚各类社会主体参与生态环境保护和美丽中国建设的力量。增强公民保护生态环境意识，推进生态文明建设、推动公众参与生态环境保护，在全社会牢固树立并广泛践行，形成了人人、事事、时时、处处崇尚生态文明的社会氛围，践行简约适度、绿色低碳、文明健康的生活方式，有效激发公众参与生态保护的主体意识，推动公众以实际行动践行习近平生态文明思想，营造全社会共建共治共享的良好氛围，进一步增强建设美丽昌吉的行动自觉。</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20万元，资金执行率100%，本项目实际完成六五环境日宣传活动1次；征订《中国环境报》、购买业务书籍62份；报纸版面宣传、新媒体宣传40份；邀请专家授课1次；通过本项目实施增强了公民保护生态环境的意识，推进生态文明建设、推动公众参与生态环境保护，在全社会牢固树立并广泛践行，形成了人人、事事、时时、处处崇尚生态文明的社会氛围，践行简约适度、绿色低碳、文明健康的生活方式，有效激发公众参与生态保护的主体意识，推动公众以实际行动践行习近平生态文明思想，营造全社会共建共治共享的良好氛围，进一步增强建设美丽昌吉的行动自觉。</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组织六五环境日宣传活动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征订《中国环境报》及购买业务书籍</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=60本（份）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=62本（份）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103.33%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7.73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超额完成，存在偏差，偏差率为3.33%，偏差原因为：按照自治区生态环境厅工作要求完成征订任务。下一年度改进措施：提前对接自治区生态环境厅相关要求，在编制下一年度绩效目标时，结合实际执行能力，确保绩效目标的准确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报纸版面宣传、新媒体宣传数量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邀请专家授课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100%，偏差原因为：按照往年培训情况确定的项目指标，项目人员未征求各科室意见，导致实际邀请授课老师较年初预计有偏差。下一年度改进措施：提前征求各科室意见，提高预算编制准确性，确保绩效目标严格按照预算执行。</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开展六五环境日宣传活动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2025年6月9日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报纸版面宣传、新媒体宣传、制作宣传品</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&lt;=16.66万元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=16.66万元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征订《中国环境报》、购买业务书籍等费用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提升公众了解生态环境保护相关法律法规程度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征求群众对生态环境保护宣传工作的满意度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=96.36%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107.07%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此项指标已超额完成，存在偏差，偏差率为7.07%，偏差原因为：群众满意度依托调研数据，超额完成。下一年度改进措施：结合实际执行能力，确保绩效目标的科学性和先进性。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92.73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保障西部计划志愿者生活补贴</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本项目计划支出1万元，全面落实中央关于做好大学生西部志愿者服务基层的重要指示精神，及时发放在岗西部计划志愿者生活补助，发放补助1人，发放补助5次。通过该项目实施，提高了西部计划政策知晓率，引导和鼓励高校毕业生到西部去、到基层去，经受锻炼，健康成长，为构建社会主义和谐社会作出贡献。</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1万元，资金执行率100%，及时发放在岗西部计划志愿者生活补助，发放补助1人，发放补助5次。通过该项目实施，提高了西部计划政策知晓率，引导和鼓励高校毕业生到西部去、到基层去，经受锻炼，健康成长，为构建社会主义和谐社会作出贡献。</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发放补助人数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发放补助次数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资金发放及时率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每月发放补助资金</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&lt;=0.2万元/月</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=0.2万元/月</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提高西部计划政策知晓率，引导和鼓励高校毕业生到西部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西部志愿者满意度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全州生态环境系统干部规范化管理能力提升项目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27.94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96.34%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27.94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计划支出29万元，委托第三方机构开展干部人事档案结构化信息提取工作及干部人事档案整理及数字化制作工作。通过该项目实施，为更好地服务全州生态环境系统干部队伍建设，有效提升干部人事档案管理的规范化、专业化水平。</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27.94万元，资金执行率96.34%，本项目实际完成231卷干部人事档案整理、数字化制作及结构化信息提取；通过本项目的实施，加强了全州生态环境系统干部队伍建设，提升了干部人事档案管理的规范化、专业化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干部人事档案整理及数字化制作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&gt;=210本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偏差原因为：指标目标值依据当时静态库存台账确定，项目执行期间，因正常人事干部调整以及新增新招录人员，导致完成值超出目标值；下一年度改进措施：今后项目申报时采用区间指标进行申报。</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委托第三方机构开展干部人事档案结构化信息提取</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&gt;=210本</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=231本</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偏差原因为：指标目标值依据当时静态库存台账确定，项目执行期间，因正常人事干部调整以及新增新招录人员，导致完成值超出目标值；下一年度改进措施：今后项目申报时采用区间指标进行申报。</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干部人事档案规范化管理验收合格率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11.37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项目执行过程中严格执行交叉互审、专审等质量检验机制，对档案材料逐项逐卷检查，发现问题及时返工，确保交付数据零瑕疵，导致完成值超出目标值；下一年度改进措施：将质量标准固化为日常操作规范，持续开展“回头看”质量抽检，确保长期可用。</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按时完成干部人事档案规范化管理完成率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11.37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项目执行过程中，关键节点均按计划完成，保障了项目按期交付，导致完成值超出目标值；下一年度改进措施：后续项目申报设置目标值时，在充分评估项目成熟度和实施条件稳定性的前提下，将此类指标目标值适度提升至大于等于98%。</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档案整理及数字化制作服务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=16.26万元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偏差原因为：通过三方比价确定服务商，成交价低于预算价；下一年度改进措施：提高预算编制准确性，确保后续各类项目严格按照预算进行支出。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建立干部档案管理信息系统、相关软硬件及耗材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=11.68万元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97.33%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9.33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偏差原因为：通过三方比价确定服务商，成交价低于预算价；下一年度改进措施：提高预算编制准确性，确保后续各类项目严格按照预算进行支出。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推进全州生态环境系统干部人事档案数字化进程</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有效推进</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干部职工满意率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项目交付后，使用档案数字化系统查档效率大幅提升，获得充分认可，导致完成值超出目标值；下一年度改进措施：后续项目申报设置目标值时，在充分评估项目成熟度和实施条件稳定性的前提下，将此类指标目标值适度提升至大于等于98%。</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95.38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州生态环境局专家评审费项目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本年度“州级”建设项目环评专家评审不少于250个；针对部分工艺复杂、“两高”等类型环评项目，委托第三方技术评估中心进行评审；对审批的环评报告开展质量抽查不少于10个；审批环评文件的合格率达到100%；环评文件（表和书）审批报告表时限在30天内；委托评估机构技术评估费20万元；环评专家费60万元；该项目计划2025年12月10前完成。通过该项目的实施，从源头上严格控制环境污染，助力了经济高质量发展。通过开展月度信息化存证审核，多源数据比对，识别异常数据，杜绝弄虚作假行为，压实重点排放单位企业的主体责任，提升重点排放单位碳数据质量管理能力，使全州碳排放数据质量有效提升，碳市场健康发展。</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80万元，资金执行率100%，本项目实际完成了“州级”建设项目环评专家评审296个；针对部分工艺复杂、“两高”等类型环评项目，委托第三方技术评估中心进行评审；对审批的环评报告开展质量抽查10个；审批环评文件的合格率达到100%；环评文件（表和书）审批报告表时限在30天内。通过该项目的实施，从源头上严格控制环境污染，助力了经济高质量发展。通过开展月度信息化存证审核，多源数据比对，识别异常数据，杜绝弄虚作假行为，压实重点排放单位企业的主体责任，提升重点排放单位碳数据质量管理能力，使全州碳排放数据质量有效提升，碳市场健康发展。</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完成建设项目环评专家评审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&gt;=250个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=296个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118.4%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328个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超额完成，存在偏差，偏差率为18.4%，偏差原因为年度内企业环评实际申报项目数量超出前期预估，为保障区域产业项目落地建设需求，我们统筹调配审批力量、优化审批流程，高效完成了全部合规申报项目的审批工作。下一年度改进措施：总结本次项目的成功经验，在编制下一年度绩效目标时，结合实际执行能力，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环评报告质量抽查数量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审批环评文件合格率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环评报告表审批时限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委托评估机构技术评估费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环评专家费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=59.98万元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此项指标已完成，存在偏差，偏差率为0.03%，偏差原因为项目人员严格控制专家费开支，导致实际支出较预算有结余。下一年度改进措施：提高预算编制准确性，确保后续各类项目严格按照预算进行支出。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从源头上严格控制环境污染，助力经济高质量发展。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严格控制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对服务机构的满意度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97.79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州生态环境局尾款项目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207.70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207.70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188.36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90.69%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7.67</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207.70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207.70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188.36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完成支付项目尾款5个；项目验收合格率100%；2025年12月1日前前完成尾款支付；昌吉市秋冬季重污染天气成因深度解析及人工干预精准防控研究项目尾款37万元；昌吉州颗粒物与挥发性有机物组分监测项目尾款43万元；昌吉州环境功能区噪声自动监测能力建设项目尾款45万元；微型环境空气质量监测系统设备及服务项目尾款63.7万元；纠纷发生率0%；委托人满意度达到90%。通过该项目实施，对细颗粒物进行监测，对城市空气中的PM2.5颗粒物进行实时或定期的测量和分析，说清各类污染源对细颗粒物的贡献；对挥发性有机物组分进行监测，掌握挥发性有机物时间变化规律和臭氧生成贡献关键物种。可以实时了解工业排放源的污染物排放情况，为制定合理的排放标准和减排措施提供依据；监测数据可用于预测大气污染事件的发生和发展趋势，为政府部门提供预警信息，及时采取应对措施。建立挥发性有机物重点监管清单，有效减少臭氧前体物-VOC 的排放量。项目最终实现说清污染特征，理清污染成因和初步来源，对污染精准溯源，为昌吉州细颗粒物和臭氧污染协同控制，以及精准治污、科学治污、依法治污提供有力保障。</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188.36万元，预算执行率90.69%。本项目已完成支付项目尾款4个。通过该项目实施，对细颗粒物进行监测，对城市空气中的PM2.5颗粒物进行实时或定期的测量和分析，说清各类污染源对细颗粒物的贡献；对挥发性有机物组分进行监测，掌握挥发性有机物时间变化规律和臭氧生成贡献关键物种。可以实时了解工业排放源的污染物排放情况，为制定合理的排放标准和减排措施提供依据；监测数据可用于预测大气污染事件的发生和发展趋势，为政府部门提供预警信息，及时采取应对措施。建立挥发性有机物重点监管清单，有效减少臭氧前体物-VOC 的排放量。项目最终实现说清污染特征，理清污染成因和初步来源，对污染精准溯源，为昌吉州细颗粒物和臭氧污染协同控制，以及精准治污、科学治污、依法治污提供有力保障。</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支付项目尾款数量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其中一个项目未按照合同约定完成验收工作，未支付款项，因而产生偏差。偏差改进措施：我单位将在年末对项目实施情况进行绩效评价，通过绩效评价工作合理指导下一年项目预算编制，确保项目绩效工作高质量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尾款支付完成时间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昌吉市秋冬季重污染天气成因深度解析及人工干预精准防控研究项目尾款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=36.66万元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按照合同约定，该工程已竣工验收，故相关指标完成率高于序时进度66.67%，因而产生偏差。偏差改进措施：我单位将在年末对项目实施情况进行绩效评价，通过绩效评价工作合理指导下一年项目预算编制，确保项目绩效工作高质量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昌吉州颗粒物与挥发性有机物组分监测项目尾款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自治州流域生态环境保护类EOD技术咨询服务项目尾款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本项目未按照合同约定完成验收工作，未支付款项，因而产生偏差。偏差改进措施：我单位将在年末对项目实施情况进行绩效评价，通过绩效评价工作合理指导下一年项目预算编制，确保项目绩效工作高质量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昌吉州环境功能区噪声自动监测能力建设项目尾款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微型环境空气质量监测系统设备及服务项目尾款</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&lt;=63.70万元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=63.7万元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纠纷发生率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防范财政风险，提升政府公信力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有效防范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受益企业满意度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89.67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建设用地土壤污染防治调查评估报告审核、生态环境损害赔偿和监测专家服务费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96.69%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9.17</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13.30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12.86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计划使用13.3万元，主要用于土壤污染隐患排查报告审核、生态环境损害赔偿案件线索评估审查、排污单位自行监测方案专项检查。计划完成建设用地土壤调查报告8个，生态环境损害赔偿案件线索邀请专家审查、现场调查10天次。通过实施该项目，严把了昌吉州有关项目报告审批关，维护国家生态安全，保障生态环境安全，持续改善了环境质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12.86万元，资金执行率96.69%，完成了土壤污染隐患排查报告审核、生态环境损害赔偿案件线索评估审查、排污单位自行监测方案专项检查，完成了建设用地土壤调查报告8个，生态环境损害赔偿案件线索邀请专家审查、现场调查10天次。通过实施该项目，严把了昌吉州有关项目报告审批关，维护国家生态安全，保障生态环境安全，持续改善了环境质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对建设用地土壤调查报告邀请专家审核</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生态环境损害赔偿案件线索邀请专家审查、现场调查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&gt;=10天次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=11天次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10%。偏差原因：我单位设定该目标时，秉持审慎原则，结合【建设用地土壤污染防治调查评估报告审核、生态环境损害赔偿和监测专家服务费】项目需求，重点保障专家审查、现场调查工作有序开展，合理测算工作天次，满足案件线索核查基本需求，未充分预估案件线索数量增加、现场调查复杂度提升及专家审查精细化要求提高等实际情况，导致实际工作天次高于预期业绩值。下一年度改进措施：总结本次专家审查、现场调查工作经验，结合生态环境损害赔偿工作实际，科学测算工作天次目标，优化工作统筹安排，规范工作流程，充分发挥专家服务费作用，提升案件线索核查效率和质量，切实筑牢生态环境安全防线。</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评审报告合格率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报告审批时限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36.67%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63.33%。偏差原因：我单位设定该审批时限目标时，秉持审慎原则，结合项目中调查评估报告审核需求，合理预留审批缓冲时间，保障报告审批规范、严谨，满足审批工作基本要求，未充分预估审批流程优化、工作人员业务能力提升及部门协同效率提高带来的成效，导致实际报告审批时限大幅缩短，优于预期目标。下一年度改进措施：总结本次报告审批工作经验，固化优化后的审批流程，适当缩短审批时限目标，持续提升审批效率，同时严格把控审批质量，充分发挥专家服务费和项目资金保障作用，规范建设用地土壤污染防治调查评估报告审核工作，助力生态环境治理提质增效。</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建设用地土壤调查报告专家评审费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此项指标已完成，存在偏差，偏差率为7.33%，偏差原因为项目人员严格控制专家费开支，导致实际支出较预算有结余。下一年度改进措施：提高预算编制准确性，确保后续各类项目严格按照预算进行支出。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生态环境损害赔偿和监测专家服务费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严把昌吉州有关项目报告审批关，保障生态环境安全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严格控制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88.17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排污许可证核查与审核</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31.39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31.39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31.39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31.39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31.39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31.39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完成排污许可证质量审核35个；完成执行报告规范性审核200个；完成自行监测方案编制规范性审核35个；排污许可证核发率100%；该项目于2025年8月31日前完成；排污许可证质量审核费用13.895万元执行报告规范性审核费用15万元；自行监测方案编制规范性审核费用2.5万元；保障排污许可证核发工作顺利开展；对排污单位开展满意度调查达到90%。通过该项目实施，可提高排污许可证质量问题，推进全面实行排污许可制。第一阶段：完成2025年国家生态环境部、自治区生态环境厅、州本级核查许可证问题清单的复查整改工作；完成2025年1月以来首次、重新申请排污许可证审核及整改；对全州排污单位申请排污许可证重新申报和首次申请的自行监测方案编制规范性进行审核；完成第四季度火电行业生态环境统计与排污许可统一信息报表审核；完成2024年重点管理排污许可证年报审核工作；确定2025年排污许可证重点行业排污许可证质量审核清单，确定审核工作范围；出具2024年度许可证问题整改工作报告，此项工作完成后付款17.94万元。第二阶段：完成2024年重点管理、简化管理排污许可证执行报告（年报）审核；完成2025年重点行业排污许可证质量审核整改工作；完成2025年重点管理类排污许可证执行报告（季报）审核；完成2025年1月以来首次、重新申请排污许可证审核及整改；出具2025年度许可证问题整改工作报告。此项工作完成后付款13.455万元。</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31.39万元，预算执行率100%。本项目已完成排污许可证质量审核40个；完成执行报告规范性审核200个；完成自行监测方案编制规范性审核40个；排污许可证核发率100%。通过该项目实施，提高了排污许可证质量问题，推进全面实行排污许可制，帮助企业规范了环境管理行为，提升了企业的环境管理水平，推动了昌吉州经济与环境的协调发展。通过严格的排污许可管理，淘汰了落后产能和不符合环保要求的企业，促进了产业结构的优化升级，推动了绿色产业的发展，实现了经济发展与环境保护的良性互动，通过一系列扎实有效的措施，昌吉州生态环境局在提升排污许可证质量方面取得了显著的社会效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排污许可证质量审核</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114.29%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7.71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超额完成，存在偏差，偏差率为14.29%，偏差原因为是年度企业排污许可证实际申请量超出前期预估，为保障企业正常生产经营需求，我们统筹调配工作力量、高效推进审核流程，完成了全部申请件的审核工作。下一年度改进措施：总结本次项目的成功经验，在编制下一年度绩效目标时，结合实际执行能力，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执行报告规范性审核</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自行监测方案编制规范性审核</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&gt;=35个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114.29%</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7.71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超额完成，存在偏差，偏差率为14.29%，偏差原因为是年度企业排污许可证实际申请量超出前期预估，为保障企业正常生产经营需求，我们统筹调配工作力量、高效推进审核流程，完成了全部申请件的审核工作。下一年度改进措施：总结本次项目的成功经验，在编制下一年度绩效目标时，结合实际执行能力，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排污许可证核发率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2025年8月31日前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排污许可证质量审核费用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&lt;=13.89万元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=13.89万元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执行报告规范性审核费用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自行监测方案编制规范性审核费用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提高排污许可证质量问题</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对排污单位开展满意度调查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97.42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昌吉大气污染综合治理能力提升项目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385.80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388.00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385.80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完成重点行业“一行一策”提升方案建议及重点行业“一企一策”、创A晋B、超低排放改造帮扶指导意见表15份；重点季节大气污染防治措施实施效果跟踪评估报告及重污染天气应对跟踪报告3份；报告完成率100%；该项目于2025年12月10前完成；重点行业“一行一策”提升方案建议及重点行业“一企一策”、创A晋B、超低排放改造帮扶指导工作费用200万元；重点季节大气污染防治措施实施效果跟踪评估报告及重污染天气应对及精细化管控等费用188万元；改善环境空气质量，促进经济高质量发展；单位对项目实施满意度达到95%。通过该项目的实施，支撑开展春秋季节四个重点县市（昌吉市、阜康市、呼图壁县及玛纳斯县）的高分辨率卫星遥感裸地监测，形成裸地扬尘管控清单并提出治理建议；开展昌吉州重点季节（夏季和秋冬季）大气污染成因分析，污染过程应对现场+远程工作指导，对气象影响与人为减排影响的贡献进行综合评估分析，跟踪评估臭氧污染季及秋冬季采暖期各类管控措施实施效果，优化调整昌吉州大气污染防治对策措施。提升工业源深度治理水平，开展“一企一策”创A晋B、超低排放改造帮扶指导，帮扶重点企业完成创A晋B、超低排放评估的申报工作。支撑春秋季节四个重点县市裸地扬尘治理，开展高分辨率卫星遥感裸地监测，形成裸地扬尘管控清单，提升裸地扬尘治理水平。开展昌吉州重点季节（夏季和秋冬季）大气污染防治措施实施效果跟踪评估，为重污染天气应对及“乌-昌-石”区域精准治理提供科技支撑。</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385.8万元，预算执行率99.43%。对32家四县市企业绩效提升和超低排放进行了现场帮扶，对7家准东企业绩效提升做了现场帮扶，共形成3份专报，15份帮扶表。累计审核绩效评级资料42家次，其中A级资料2家，B级资料24家，C级资料14家以及绩效引领资料2家。对7家四县市重点行业超低排放进行了现场帮扶，共形成3份专报，分别是1份《钢铁、水泥、焦化等行业超低排放改造进度帮扶指导意见》2份《水泥行业粉磨站超低排放改造工作进展调研报告》1份“一行一策”报告，累计提出超低排放要求相关改造建议百余项，有利的支撑了超低排放企业按时完成改造任务。通过对67家企业的现场和资料调研，项目组在2025年8月完成了8个行业（有色金属行业（电解铝、炭素、铜冶炼、有色金属压延）、 氯碱行业（含电石）、 钢铁行业、燃煤锅炉、 煤化工-焦化行业、 煤化工-煤制氮肥、 砖瓦行业、 铸造行业、 工业硅行业）“一行一策”提升方案建议报告。</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排放改造帮扶指导意见表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重污染天气应对跟踪报告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报告验收合格率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排放改造帮扶指导意见费用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=198.88万元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按照合同约定，已支付完毕，因而产生偏差，偏差率0.56%。偏差改进措施：我单位将在年末对项目实施情况进行绩效评价，通过绩效评价工作合理指导下一年项目预算编制，确保项目绩效工作高质量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重污染天气应对跟踪报告费用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&lt;=188万元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=186.92万元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该项目已竣工验收，按照合同约定，资金已支付完毕，因而产生偏差，偏差率0.57%。偏差改进措施：我单位将在年末对项目实施情况进行绩效评价，通过绩效评价工作合理指导下一年项目预算编制，确保项目绩效工作高质量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提高环境空气质量，促进经济高质量发展</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单位对项目实施满意度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昌吉州160套环境空气微型站点设备运行维护技术服务项目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64.60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64.60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该项目计划完成站点维护160个；确保监测数据准确率达到90%；微型站点在线率达到100%；该项目于2024年12月10日前完成；合同签订后支付费用32.3万元；服务期满半年后支付费用32.3万元；确保环境空气质得到持续改善；服务单位满意度达到95%。通过该项目的实施，可充分发挥昌吉州大气环境综合监管指挥调度平台作用，确保微型站点的有效运行，持续保障大气污染防治中监测数据对政府决策的支持，不断提升大气污染防治预警预报能力。</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已完成环境空气微型站点设备运行维护160个。通过该项目的实施，充分发挥了昌吉州大气环境综合监管指挥调度平台作用，确保了微型站点的有效运行，持续保障了大气污染防治中监测数据对政府决策的支持，提升了大气污染防治预警预报能力，提升了环境空气质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站点维护数量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&gt;=160个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=160个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确保监测数据准确率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=96.75%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107.47%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监测数据准确率已超额达到，存在偏差，偏差率为7.47%，偏差原因为数据准确率依托网络布局，超额完成。下一年度改进措施：总结本次项目的成功经验，在编制下一年度绩效目标时，结合实际执行能力，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微型站点在线率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合同签订后支付款项（50%）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服务期满半年（50%）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&lt;=32.3万元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=32.3万元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提升环境空气质量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服务单位满意度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我单位在前期设定满意度指标时，为确保项目产出的安全性和底线思维，设定了≥95%的保守目标值，故与实际完成值产生偏差；下一年度改进措施：总结本次项目的成功经验，在编制下一年度绩效目标时，结合实际执行能力，将满意度目标值适当上调，以此倒逼服务质量持续提升。</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昌吉州2025年生态环境保护执法监测和应急监测及数据质量控制工作资金项目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2025年计划完成昌吉州废气执法企业不少于20家、完成废水执法企业不少于5家（根据2025年自治区生态环境监测方案名录）；完成2025年度昌吉州现有3771个污染源监管对象开展污染源执法监测不少于10家（根据昌吉州生态环境局工作安排）；项目验收通过率100%；于2025年12月10日前完成该项目。该项目的实施对昌吉州污染源监管对象的达标排放、对生态环境部排放源数据从完整性、逻辑性、规范性、合理性四个方面，进行审核，同时针对重点数据和重点指标开展专项监测，为昌吉州生态环境管理提供数据支撑。</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55万元，资金执行率为100%，本项目已完成昌吉州废气执法企业20家、完成废水执法企业9家（根据2025年自治区生态环境监测方案名录）；通过本项目实施对昌吉州污染源监管对象的达标排放、对生态环境部排放源数据从完整性、逻辑性、规范性、合理性四个方面，进行审核，同时针对重点数据和重点指标开展专项监测，为昌吉州生态环境管理提供数据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废气执法企业监测数量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废水执法企业监测数量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监测数据合格率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2025年5月28日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废气污染源执法企业监测费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废水污染源执法企业监测费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提升企业环境管理水平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企业的满意度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此项指标已超额完成，存在偏差，偏差率为5.26%，偏差原因为：企业满意度依托调研数据，超额完成。下一年度改进措施：结合实际执行能力，确保绩效目标的科学性和先进性。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昌吉州65蒸吨以下燃煤锅炉淘汰整治项目（四期）</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1,409.40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1,409.40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1,398.60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9.81</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1,409.40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1,409.40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1,398.60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项目计划支出1409.40万元，通过76台燃煤锅炉淘汰及清洁能源替代可减少煤炭消耗52727吨，可减少排放二氧化硫118.4吨、氮氧化物107.4吨、颗粒物95吨。</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截至2026年6月30日，本项目支出金额1398.6万元，执行率为99.23%，本项目实际完成燃煤锅炉淘汰整治75台，通过本项目的实施，减少燃煤3.194万吨，消减二氧化碳8.48万吨，减少污染物。</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燃煤锅炉淘汰整治</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=76台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98.68%</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1.32%，偏差原因为：呼图壁县五心乐食品厂企业停产，业主失联，无法完成改造和资金支付工作；下一年度改进措施：在编制下一年度绩效目标时，结合实际执行能力，确保绩效目标的准确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燃煤锅炉改造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=172.3蒸吨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=172蒸吨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此项指标未完成，存在偏差，偏差率为0.17%，偏差原因为：呼图壁县五心乐食品厂企业停产，业主失联，无法完成改造和资金支付工作；下一年度改进措施：定期梳理项目推进堵点、难点，对滞后工作及时督促。</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项目验收一次通过率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2026年6月15日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偏差原因为：呼图壁县五心乐食品厂企业停产，业主失联，无法完成改造和资金支付工作；下一年度改进措施：在编制下一年度绩效目标时，结合实际执行能力，确保绩效目标设定合理、可落地、可提质。</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对完成2蒸吨/小时以下燃煤锅炉补助(含2蒸吨/小时)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&lt;=12万元/台</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=12万元/台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偏差原因为：呼图壁县五心乐食品厂企业停产，业主失联，无法完成改造和资金支付工作；下一年度改进措施：在编制下一年度绩效目标时，结合实际执行能力，确保绩效目标的准确性。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对完成2蒸吨/小时以上燃煤锅炉补助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&lt;=6万元/蒸吨/小时</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=6万元/蒸吨/小时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99.23%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偏差原因为：呼图壁县五心乐食品厂企业停产，业主失联，无法完成改造和资金支付工作；下一年度改进措施：树立全过程绩效理念，以绩效目标导向统筹项目推进。</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减少煤炭消费量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&gt;=3.2万吨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=3.194万吨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0.19%，偏差原因为：呼图壁县五心乐食品厂企业停产，业主失联，无法完成改造和资金支付工作；下一年度改进措施：对照项目绩效产出指标、行业规范及项目实施方案，明确质量标准，确保项目达标合规。</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消减颗粒物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=94.47吨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99.44%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0.56%，偏差原因为：呼图壁县五心乐食品厂企业停产，业主失联，无法完成改造和资金支付工作；下一年度改进措施：对照项目绩效产出指标、行业规范及项目实施方案，明确质量标准，保障项目持续有序推进。</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消减二氧化硫</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&gt;=118.40吨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=118.178吨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99.81%</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此项指标未完成，存在偏差，偏差率为0.19%，偏差原因为：呼图壁县五心乐食品厂企业停产，业主失联，无法完成改造和资金支付工作；下一年度改进措施：树立全过程绩效理念，以绩效目标导向统筹项目推进。</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消减氮氧化物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&gt;=107.40吨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=107.345吨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呼图壁县五心乐食品厂企业停产，业主失联，无法完成改造和资金支付工作；下一年度改进措施：总结本次项目的成功经验，在编制下一年度绩效目标时，结合实际执行能力，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消减二氧化碳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&gt;=8.50万吨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=8.48万吨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99.76%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未完成，存在偏差，偏差率为0.24%，偏差原因为：呼图壁县五心乐食品厂企业停产，业主失联，无法完成改造和资金支付工作；下一年度改进措施：对照项目绩效产出指标、行业规范及项目实施方案，明确质量标准，保障项目持续有序推进。</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89.06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昌吉州“天山北坡城市群”区域企业VOCs监测监管支撑服务项目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75.00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聘请专业技术团队以现场核查和帮扶指导的方式排查涉VOCs环节企业，督促指导企业依法履行污染防治法定责任。对昌吉州“乌—昌—石”区域涉VOCs企业按行业实施精准诊断，以重点行业涉VOCs企业为帮扶重点，形成企业帮扶报告不少于50份；形成重点行业涉VOCs企业管理工作手册1套；形成涉VOCs企业提升治理工作建议报告1份；验收通过率100%；项目计划2025年12月10日前完成。通过此项工作，精准掌握企业数量及基本情况，建立企业清单。根据企业清单制定具体的帮扶计划，按行业对企业实施精准诊断，帮助企业提升污染治理能力，提高监管效率，降低环境风险。最终形成问题闭环管理，确保监管工作有效落实。</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75万元，资金执行率100%，本项目实际形成企业帮扶报告50份；形成重点行业涉VOCs企业管理工作手册1套；形成涉VOCs企业提升治理工作建议报告1份。通过此项工作，精准掌握企业数量及基本情况，建立企业清单。根据企业清单制定具体的帮扶计划，按行业对企业实施精准诊断，帮助企业提升污染治理能力，提高监管效率，降低环境风险。最终形成问题闭环管理，确保监管工作有效落实。</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企业帮扶报告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&gt;=50份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重点行业涉VOCs企业管理工作手册</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=1套</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涉VOCs企业提升治理工作建议报告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项目验收通过率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2025年11月24日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对涉VOCs企业精准诊断费用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帮扶排污单位开展修复工作费用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提升企业环境管理水平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对服务机构的满意度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101.05%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1.05%，偏差原因分析：此项指标已完成，对服务机构的满意度96%，故相关指标完成率高于序时进度95%，因而产生偏差。偏差改进措施：我单位将在年末对项目实施情况进行绩效评价，通过绩效评价工作合理指导下一年项目预算编制，确保项目绩效工作高质量完成。</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昌吉州加密建设空气质量自动监测站点项目（昌吉回族自治州大气污染防治重点区域加密站点建设项目）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1,134.46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94.54%</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8.64</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1,200.00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1,134.46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完成新增重点乡镇站点7个；新增工业园站点1个；新增边界站点2个；验收通过率100%；该项目于2025年12月10日前完成；完善城市空气质量监测网络，对昌吉州辖区内乡镇、自治区及以上开发区合同签订后支付费用302.49万元；验收合格后支付费用705.81万元；监测能力有效得到提升；公众满意度达到95%。通过该项目的实施，工业园区、涉气产业集群、主要交通干道设建设空气质量自动监测站，实现城区和污染较重乡镇全覆盖。做到大气环境质量实时监控、重点区域全覆盖，运用监测数据的实时、连续性，为大气污染防治的科学决策提供数据支撑，进而实现“锁定污染来源，定向管控、靶向治理及时见效”的环境监管目的。</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1134.46万元，资金执行率94.54%，本项目实际完成建设重点乡镇站点7个、工业园区站点1个及边界站的2个，共建设10个环境空气质量自动监测站点。通过本项目的实施，进一步完善“乌-昌-石”大气污染防治重点区域环境监测监控网络，强化科技基础支撑，深入打好污染防治攻坚战。通过环境网格化监管的模式，提升环境管控的“精细化、规范化”水平。</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新增重点乡镇站点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新增工业园站点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新增边界站点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=2个</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2025年9月28日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合同签订后支付费用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&lt;=302.49万元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=302.49万元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验收合格后支付费用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&lt;=897.51万元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=831.97万元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92.7%</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8.18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偏差原因为：按照合同约定，支付节点为9月28日，故产生偏差；下一年度改进措施：结合实际执行能力，确保绩效目标的科学性和先进性。</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提升监测能力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公众满意度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96.82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昌吉州环境安全隐患排查整治项目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68.64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68.64</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68.64</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完成对全州名录内风险源企业开展隐患排查工作2次；修订州本级应急预案及对全州风险源企业应急预案进行复核1次；企业通过率100%；于2025年8月底前完成；开展隐患排查工作费用33.2万元；修订应急预案及对风险源企业应急预案进行复核费用20万元；应急演练费用15.44万元；保障重大事故隐患专项排查整治工作顺利开展；对服务机构的满意度达到95%。一是全州183家环境风险源企业（实时动态更新）和重点环保设备设施开展现场环境安全隐患排查，对其它企业通过调阅文书档案、查看在线监控平台、排污许可证平台等非现场核查方式，确保检查全覆盖，环境安全无隐患。对照《企业突发环境事件隐患排查和治理工作指南（试行）》附表1企业突发环境事件应急管理隐患排查表及附表2企业突发环境事件风险防控措施隐患排查表中相应排查内容对风险源企业进行隐患排查，填写企业突发环境事件应急管理及风险防控措施隐患排查表并对排查结果进行汇总形成报告，针对企业环境安全隐患提出整改措施，确保企业环境安全无隐患。二是通过演练科学有效应对突发环境事件，不断强化环境风险管控，着力提升能力素质，坚决遏制突发环境事件，坚决守住环境安全底线。</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68.64万元，资金执行率100%，本项目实际完成对全州名录内风险源企业开展隐患排查工作2次；修订州本级应急预案及对全州风险源企业应急预案进行复核1次。一是全州183家环境风险源企业（实时动态更新）和重点环保设备设施开展现场环境安全隐患排查，对其它企业通过调阅文书档案、查看在线监控平台、排污许可证平台等非现场核查方式，确保检查全覆盖，环境安全无隐患。通过演练科学有效应对突发环境事件，不断强化环境风险管控，着力提升能力素质，坚决遏制突发环境事件，坚决守住环境安全底线。</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隐患排查工作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应急预案复核工作</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企业通过率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2025年9月30日前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2025年8月26日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开展隐患排查工作费用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&lt;=33.2万元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=33.2万元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应急预案复核费用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应急演练费用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=15.44万元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提高环境风险管控应急能力</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对服务机构的满意度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昌吉州管控尺度PM2.5精准溯源项目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488.50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488.50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486.80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99.65%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488.50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488.50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486.80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完成精准识别昌吉州天山北坡城市群（昌吉市、阜康市、玛纳斯县、呼图壁县）秋冬季PM2.5的主要污染源，全面掌握区域PM2.5污染源的化学组成与污染源定量化贡献。评估燃气锅炉、机动车等重点燃烧源对PM2.5的贡献，开展重点工业企业污染源特征分析，量化各类污染源对秋冬季PM2.5贡献以及重点企业和街区尺度来源及贡献。通过离线采样数据对在线监测数据的校准工作，提高昌吉州组分站监测数据的准确性和可靠性。最终将形成管控尺度的源解析成果，可明确不同大气污染源在时空维度上的管控方向和精准措施，提升昌吉州大气污染治理的工作精细化和科学化程度，是支撑生态环境管理决策的重要基础，为重污染过程的成因分析与应对提供更加科学的数据支撑。为“十五五”期间环境空气质量的持续改善提供科学决策依据。</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486.8万元，预算执行率99.65万元。本项目已完成PM2.5受体源解析分析报告1份，区域本地贡献模拟分析报告1份，离线及在线数据比对分析报告1份，昌吉州管控尺度PM2.5精准溯源项目报告1份。通过本项目实施，提高了昌吉州组分站监测数据的准确性和可靠性。形成的管控尺度的源解析成果，可明确不同大气污染源在时空维度上的管控方向和精准措施，提升昌吉州大气污染治理的工作精细化和科学化程度，为重污染过程的成因分析与应对提供更加科学的数据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PM2.5受体源解析分析报告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区域本地贡献模拟分析报告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离线及在线数据比对分析报告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昌吉州管控尺度PM2.5精准溯源项目报告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报告验收合格率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2025年10月30日前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2025年10月29日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PM2.5受体源解析和离线在线数据对比分析工作费用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&lt;=342万元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=340.76万元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项目其余工作支付的费用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&lt;=146.50万元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=146.04万元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提升大气环境精细化、科学化管理水平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达成年度目标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对服务机构的满意度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机关运行补助经费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85.96</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98.80%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57.00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56.98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28.98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计划完成保障各类检查、督查不少于10次物业人员配备数5人；各类检查、督察工作质量合格率100%；办公费用7.265万元物业管理费26.3万元差旅费用15万元；其他运行费用8.435万元；安全无纸化会议系统费用30万元；保障了部门单位运转正常，提高了职工的工作效率；职工对物业的满意度达到95%。通过该项目的实施，保持力度、延伸深度、拓展广度，持续深入推进蓝天、碧水、净土三大保卫战，稳定改善生态环境质量。坚持精准、科学、依法治污，深入实施空气质量持续改善行动计划，加强多污染物协同防治和区域精细化管控，深化群众“家门口”问题专项整治。保障生态环境局正常运行，同时做好职工工作条件改善保障和提高工作效率。</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85.96万元，预算执行率98.8%。本项目已完成保障各类检查、督查10次，物业人员配备5人。通过本项目的实施，保持力度、延伸深度、拓展广度，持续深入推进蓝天、碧水、净土三大保卫战，稳定改善生态环境质量。坚持精准、科学、依法治污，深入实施空气质量持续改善行动计划，加强多污染物协同防治和区域精细化管控，深化群众“家门口”问题专项整治。保障生态环境局正常运行，同时做好职工工作条件改善保障和提高工作效率。</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保障各类检查、督查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物业人员配备数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办公用品政府采购率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经费支付及时率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&lt;=7.26万元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11.7817万元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此项指标已完成，存在偏差，偏差率为0.28%，偏差原因为项目人员严格控制办公费开支，导致实际支出较预算有结余。下一年度改进措施：提高预算编制准确性，确保后续各类项目严格按照预算进行支出。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物业管理费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&lt;=26.30万元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=26.3万元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24.09万元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4</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其他运行费用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&lt;=8.44万元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=8.42万元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19.1283万元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此项指标已完成，存在偏差，偏差率为0.24%，偏差原因为项目人员严格控制经费开支，导致实际支出较预算有结余。下一年度改进措施：提高预算编制准确性，确保后续各类项目严格按照预算进行支出。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安全无纸化会议系统费用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=28.98万元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此项指标已完成，存在偏差，偏差率为3.4%，偏差原因为项目人员严格控制费用的开支，导致实际支出较预算有结余。下一年度改进措施：提高预算编制准确性，确保后续各类项目严格按照预算进行支出。</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保障部门单位运转正常，提高工作效率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有效保障</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职工对物业的满意度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档案整理外包服务费项目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36.36%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11万元，根据档案移交工作要求，完成2011—2018年七年专业档案移交工作，完成2019—2024年七年专业、文书、会计档案移交工作。通过该项目实施，有助于提升档案信息的效率和准确性，还能保障档案信息的安全性和便捷性。</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4万元，资金执行率36.36%。本项目实际完成2011—2018年七年专业档案移交工作，因州档案馆本年度承载能力有限，暂不接收档案审核及移交工作，相关档案目前尚未移交至州档案馆。</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完成专业档案移交年数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完成专业、文书、会计档案移交年数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=7年</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州档案馆本年度承载能力有限，暂不接收档案审核及移交工作，相关档案目前尚未移交至州档案馆。下一年度改进措施：主动加强与归口单位的常态化沟通，及时掌握年度工作安排、接收档期及审核标准变化，提前做好工作统筹衔接。</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档案馆验收合格率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7.58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偏差原因为：2011-2018年档案已移交至州档案馆，并通过验收，故产生此偏差。下一年度改进措施：主动加强与归口单位的常态化沟通，及时掌握年度工作安排、接收档期及审核标准变化，提前做好工作统筹衔接。</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完成2011—2024年档案整理工作时限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2026年6月30日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州档案馆已接收2011-2018年档案，暂无法接收2019-2024年档案审核及移交工作，故产生此偏差。下一年度改进措施：主动加强与归口单位的常态化沟通，及时掌握年度工作安排、接收档期及审核标准变化，提前做好工作统筹衔接。</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完成2011—2018年档案整理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&lt;=4万元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完成2019—2024年档案整理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州档案馆暂无法接收2019-2024年档案审核及移交工作，导致资金未支付产生偏差。下一年度改进措施：主动加强与归口单位的常态化沟通，及时掌握年度工作安排、接收档期及审核标准变化，提前做好工作统筹衔接。</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依法依规做好档案整理和数字化加工，提升档案工作规范化、科学化水平。</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57.58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生态环境保护宣教能力提升项目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97.90%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19.58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计划支出20万元，完成加强生态环境保护工作成效宣传发布新闻稿件不少于10篇；深化环保设施向公众开放活动，进一步扩大社会影响力，结合生态环境保护相关重要节日，通过“线上、线下”等多种形式开展生态文明宣传、环保设施向公众开放活动5次；深入宣传习近平生态文明思想，全面提升“双微”平台活跃度，普及生态环境知识，开展生态环境保护法律法规线上答题活动1次。通过项目实施，引导公众科学认识新污染物环境风险，树立绿色消费理念，营造良好的社会氛围。</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2026年6月30日，本项目支出资金19.58万元，资金执行率97.9%，本项目实际完成2次生态环境保护法律法规线上答题活动，通过昌吉日报等发布生态环境保护工作成效新闻稿件11篇，拍摄制作6分25秒《深化大气综合治理 擦亮生态宜居底色》专题片。制作短视频累计5分33秒，完成“双微”平台托管代运营（托管时间2025年12月1日起至2026年3月30日）。通过本项目的实施，加强了对美丽昌吉建设、绿色经济发展等方面的措施和成效的宣传，提升了生态环境保护工作的透明度与公信力，促进了公众生态环保意识持续增强，推动形成人人关心、人人参与、人人有责的生态治理格局。</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开展生态环境保护法律法规线上答题活动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偏差原因：项目支出绩效自评表只设定最低开展1次，未严格锁定上限，单位根据工作需要增设活动场次。下一年度改进措施：制定活动方案时结合历史数据科学预判，明确答题活动场次，缩小计划与执行偏差。</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发布生态环境保护工作成效新闻稿件</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&gt;=10篇（条）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=10篇（条）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偏差原因为：XXXX；下一年度改进措施：XXXX。</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采购验收合格率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11.37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目标设定偏保守，前期预判风险预留余量，实际供应商供货管控到位，验收全部达标，造成指标业绩高于目标。下一年度改进措施：结合历史验收数据动态优化指标目标值，合理上调合格指标目标，同步完善供应商常态化质量管控要求。</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开展一次线上答题活动时限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2025年12月5日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生态环境保护工作成效、生态文明宣传</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&lt;=14.5万元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=14.5万元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提升“双微”平台活跃度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&lt;=5.50万元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=5.08万元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92.36%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8.09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受业务调整影响，“双微”平台代运营服务周期缩短，实际服务时长少于计划周期，代运营费用相应降低，实际支出低于预算目标。下一年度改进措施：编制预算前精准核定服务周期，根据实际服务时长测算费用，提升预算编制精准度。</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使公众了解生态环境保护相关法律法规</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89.46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自治区天山北坡城市群大气环境整治工作推进会暨第二季度调度会议费用、自治区第二生态环境保护督察组 督察昌吉州期间有关保障经费</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29.02</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29.02</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根据《关于开展自治区第二轮第一批第一阶段生态环境白虎督察工作的通知》、《会议通知》，完成自治区天山北坡城市群大气环境整治工作推进会暨第二季度调度会保障任务，完成生态环境保护督察保障任务，环保督察抽调工作人员11人，督察迎检会议室使用20天，通过该项目实施，推动环境问题有序整改，减少污染物排放，改善空气质量。</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支出资金29.02万元，资金执行率100%。本项目完成了自治区天山北坡城市群大气环境整治工作推进会暨第二季度调度会保障任务，完成生态环境保护督察保障任务，环保督察抽调工作人员11人，督察迎检会议室使用20天，通过该项目实施，推动环境问题有序整改，减少污染物排放，改善空气质量。</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环保督察抽调工作人员数量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&gt;=11人</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=11人</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督察迎检会议室使用天数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&gt;=20天</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=20天</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办公用品采购合格率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项目完成时间</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自治区第二生态环境保护督察期间保障费用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&lt;=25.06万元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=25.06万元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自治区天山北坡城市群大气环境整治工作推进会暨第二季度调度会议保障费用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&lt;=3.96万元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=3.96万元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预算支出标准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生态效益指标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推动环境问题有序整改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有效推动</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30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说明材料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自治州中央环保督察整改工作项目</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23.59</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23.59</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该项目计划完成租赁督导检查保障车辆运转2辆，整改督导帮扶检查20人次，开展现场核查、评估、验收销号和“回头看”不少于2次，现场核查、评估、验收销号合格率100%，委托第三方进行现场核查、评估、验收销号费用15.8万元，差旅费2.79万元，租车费5万元，通过该项目的实施，着力解决了突出生态环境问题，持续改善生态环境质量。完成牵头任务整改情况公示满意度达到95%。确保完成第二轮中央生态环境保护督察、第一轮自治区生态环境保护督察各项年度整改工作任务，并按要求组织开展“回头看”。组织各县市、园区中央环境保护督察反馈意见整改整改工作领导小组办公室对第二轮中央环保督察已通过验收销号的19项整改任务、181件信访件整改效果开展自查自改。对2024年底前验收销号的整改任务进行胶装存档。委托第三方专业机构，对中央生态环境保护督察19项整改任务、181件信访件和自治区生态环境保护督察45项整改任务、92件信访件完成情况开展评估。对州自然资源局、林业和草原局、发展和改革委员会、水利局、生态环境局牵头的第二轮中央生态环境保护督察2025年完成的6项整改任务整改情况开展跟踪调查，最终形成评估报告；并对进一步做好中央、自治区生态环境保护督察整改工作提出合理化建议。</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23.59万元，预算执行率100%。本项目已完成租赁督导检查保障车辆运转2辆，整改督导帮扶检查20人次，开展现场核查、评估、验收销号和“回头看”2次，现场核查、评估、验收销号合格率100%。通过该项目的实施，着力解决了突出生态环境问题，持续改善生态环境质量。确保完成第二轮中央生态环境保护督察、第一轮自治区生态环境保护督察各项年度整改工作任务，并按要求组织开展“回头看”。组织各县市、园区中央环境保护督察反馈意见整改整改工作领导小组办公室对第二轮中央环保督察已通过验收销号的19项整改任务、181件信访件整改效果开展自查自改。</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租赁整改督导检查车辆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整改督导帮扶检查人数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&gt;=20人次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=20人次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开展现场核查、评估、验收销号和“回头看”次数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&gt;=2次</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=2次</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现场核查、评估、验收销号合格率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2025年12月8日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6</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委托第三方进行现场核查、评估、验收销号费用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&lt;=15.80万元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=15.8万元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23.7万元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差旅费、租车费</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&lt;=7.79万元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=7.79万元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7.21万元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提升生态环境质量</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有效提升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完成牵头任务整改情况公示满意度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偏差率5.26%。偏差原因：我单位设定该满意度目标时，秉持审慎原则，结合【自治州中央环保督察整改工作项目】需求，重点保障督察整改牵头任务落地见效、整改情况公示规范透明，全面公开整改进展、整改措施及整改成效，满足群众对环保督察整改工作的知情权、监督权，未充分预估整改工作的扎实推进、公示内容的全面详实及群众对环保工作的高度关注带来的良好反馈，导致实际公示满意度高于预期。下一年度改进措施：总结本次中央环保督察整改公示工作经验，结合群众反馈，优化公示内容、拓宽公示渠道，适当上调公示满意度目标，持续规范整改情况公示流程，充分发挥项目资金保障作用，提升公示质量和效果，主动接受群众监督，推动环保督察整改工作走深走实。</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tbl>
      <w:tblPr>
        <w:tblW w:type="pct" w:w="5000"/>
        <w:tblLook w:firstColumn="1" w:firstRow="1" w:lastColumn="0" w:lastRow="0" w:noHBand="0" w:noVBand="1" w:val="04A0"/>
        <w:tblCellMar>
          <w:top w:w="36" w:type="dxa"/>
          <w:left w:w="36" w:type="dxa"/>
          <w:bottom w:w="36" w:type="dxa"/>
          <w:right w:w="36" w:type="dxa"/>
        </w:tblCellMar>
      </w:tblPr>
      <w:tblGrid>
        <w:gridCol w:w="352"/>
        <w:gridCol w:w="493"/>
        <w:gridCol w:w="493"/>
        <w:gridCol w:w="788"/>
        <w:gridCol w:w="560"/>
        <w:gridCol w:w="493"/>
        <w:gridCol w:w="493"/>
        <w:gridCol w:w="493"/>
        <w:gridCol w:w="493"/>
        <w:gridCol w:w="493"/>
        <w:gridCol w:w="493"/>
        <w:gridCol w:w="674"/>
        <w:gridCol w:w="598"/>
        <w:gridCol w:w="1390"/>
      </w:tblGrid>
      <w:tr>
        <w:trPr>
          <w:trHeight w:val="405"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项目支出绩效自评表</w:t>
            </w:r>
          </w:p>
        </w:tc>
      </w:tr>
      <w:tr>
        <w:trPr>
          <w:trHeight w:val="380" w:hRule="atLeast"/>
        </w:trPr>
        <w:tc>
          <w:tcPr>
            <w:tcW w:type="dxa" w:w="593"/>
            <w:gridSpan w:val="1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(2025年度)</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项目名称</w:t>
            </w:r>
          </w:p>
        </w:tc>
        <w:tc>
          <w:tcPr>
            <w:tcW w:type="dxa" w:w="593"/>
            <w:gridSpan w:val="1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自治州排放源统计年报审核</w:t>
            </w:r>
          </w:p>
        </w:tc>
      </w:tr>
      <w:tr>
        <w:trPr>
          <w:trHeight w:val="380" w:hRule="atLeast"/>
        </w:trPr>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主管部门</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实施单位</w:t>
            </w:r>
          </w:p>
        </w:tc>
        <w:tc>
          <w:tcPr>
            <w:tcW w:type="dxa" w:w="593"/>
            <w:gridSpan w:val="5"/>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昌吉回族自治州生态环境局</w:t>
            </w:r>
          </w:p>
        </w:tc>
      </w:tr>
      <w:tr>
        <w:trPr>
          <w:trHeight w:val="380" w:hRule="atLeast"/>
        </w:trPr>
        <w:tc>
          <w:tcPr>
            <w:tcW w:type="dxa" w:w="593"/>
            <w:gridSpan w:val="2"/>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项目资金
（万元）</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年初预算数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全年预算数</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全年执行数</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分值</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执行率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得分</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年度资金总额</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29.68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98.93%</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其中：当年财政拨款</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30.00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29.68</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gridSpan w:val="2"/>
            <w:vMerge/>
            <w:tcBorders>
              <w:start w:sz="10" w:val="single"/>
              <w:top w:sz="10" w:val="single"/>
              <w:end w:sz="10" w:val="single"/>
              <w:bottom w:sz="10" w:val="single"/>
              <w:insideV w:sz="10" w:val="single"/>
            </w:tcBorders>
          </w:tcP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其他资金</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0.00</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gridSpan w:val="2"/>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w:t>
            </w: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年度总体目标</w:t>
            </w: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预期目标</w:t>
            </w:r>
          </w:p>
        </w:tc>
        <w:tc>
          <w:tcPr>
            <w:tcW w:type="dxa" w:w="593"/>
            <w:gridSpan w:val="7"/>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i w:val="0"/>
                <w:sz w:val="18"/>
              </w:rPr>
              <w:t>实际完成情况</w:t>
            </w:r>
          </w:p>
        </w:tc>
      </w:tr>
      <w:tr>
        <w:trPr>
          <w:trHeight w:val="700" w:hRule="atLeast"/>
        </w:trPr>
        <w:tc>
          <w:tcPr>
            <w:tcW w:type="dxa" w:w="593"/>
            <w:vMerge/>
            <w:tcBorders>
              <w:start w:sz="10" w:val="single"/>
              <w:top w:sz="10" w:val="single"/>
              <w:end w:sz="10" w:val="single"/>
              <w:bottom w:sz="10" w:val="single"/>
              <w:insideV w:sz="10" w:val="single"/>
            </w:tcBorders>
          </w:tcPr>
          <w:p/>
        </w:tc>
        <w:tc>
          <w:tcPr>
            <w:tcW w:type="dxa" w:w="593"/>
            <w:gridSpan w:val="6"/>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该项目2024年计划完成完成名录库调查更新1份；完成排放源数据审核1份；完成2024年度自治州排放源统计年报技术分析报告1份；生态环境统计年报及时率达到100%；于2025年12月10日前完成该项目；完成名录库调查更新费用5万元；完成排放源数据审核费用20万元；完成现场审核5万元；形成更加精准的工业源、生活源、移动源污染物排放数据；对服务机构的满意度达到95%；该项目的实施对排放源统计数据审核、对生态环境部排放源统计系统中全州排放源统计数据从完整性、逻辑性、规范性、合理性四个方面，进行全覆盖、全源项、全指标审核，同时针对重点数据和重点指标开展专项审核，对指标变化及变化的具体原因进行分析，形成全州数据分析报告；及时完成数据审核报送工作，做好环境统计数据分析。通过实施排放源统计项目，可以反映昌吉州污染物排放及治理情况，主要内容包括调查对象基本情况、废水污染物排放情况、废气污染物排放情况、工业固体废物和危险废物产生及处理情况等，是衡量生态环境保护工作成效的重要依据，是支撑生态环境管理决策的重要基础，为深入打好污染防治攻坚战提供有效统计支撑。</w:t>
            </w:r>
          </w:p>
        </w:tc>
        <w:tc>
          <w:tcPr>
            <w:tcW w:type="dxa" w:w="593"/>
            <w:gridSpan w:val="7"/>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截至2025年12月31日，本项目已支出29.68万元，预算执行率98.93%。本项目2024年计划完成完成名录库调查更新1份；完成排放源数据审核1份；完成2024年度自治州排放源统计年报技术分析报告1份；该项目的实施对排放源统计数据审核、对生态环境部排放源统计系统中全州排放源统计数据从完整性、逻辑性、规范性、合理性四个方面，进行全覆盖、全源项、全指标审核，同时针对重点数据和重点指标开展专项审核，对指标变化及变化的具体原因进行分析，形成全州数据分析报告；及时完成数据审核报送工作，做好环境统计数据分析。通过实施排放源统计项目，可以反映昌吉州污染物排放及治理情况，主要内容包括调查对象基本情况、废水污染物排放情况、废气污染物排放情况、工业固体废物和危险废物产生及处理情况等，是衡量生态环境保护工作成效的重要依据，是支撑生态环境管理决策的重要基础，为深入打好污染防治攻坚战提供有效统计支撑。</w:t>
            </w:r>
          </w:p>
        </w:tc>
      </w:tr>
      <w:tr>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val="0"/>
                <w:i w:val="0"/>
                <w:sz w:val="18"/>
              </w:rPr>
              <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一级指标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二级指标</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三级指标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权重</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目标值</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业绩值</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完成率</w:t>
            </w:r>
          </w:p>
        </w:tc>
        <w:tc>
          <w:tcPr>
            <w:tcW w:type="dxa" w:w="593"/>
            <w:vMerge w:val="restart"/>
            <w:tcBorders>
              <w:start w:sz="10" w:val="single"/>
              <w:top w:sz="10" w:val="single"/>
              <w:end w:sz="10" w:val="single"/>
              <w:bottom w:sz="10" w:val="single"/>
              <w:insideV w:sz="10" w:val="single"/>
            </w:tcBorders>
            <w:vAlign w:val="center"/>
            <w:noWrap/>
          </w:tcPr>
          <w:p>
            <w:pPr>
              <w:spacing w:before="0" w:after="0" w:line="240" w:lineRule="auto"/>
              <w:jc w:val="center"/>
              <w:keepNext/>
            </w:pPr>
            <w:r>
              <w:rPr>
                <w:rFonts w:ascii="宋体" w:hAnsi="宋体" w:eastAsia="宋体" w:cs="宋体"/>
                <w:b/>
                <w:i w:val="0"/>
                <w:sz w:val="18"/>
              </w:rPr>
              <w:t>指标得分</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指标值设定依据</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上年完成情况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赋分规则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佐证资料</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keepNext/>
            </w:pPr>
            <w:r>
              <w:rPr>
                <w:rFonts w:ascii="宋体" w:hAnsi="宋体" w:eastAsia="宋体" w:cs="宋体"/>
                <w:b/>
                <w:i w:val="0"/>
                <w:sz w:val="18"/>
              </w:rPr>
              <w:t>偏差原因分析及改进措施</w:t>
            </w:r>
          </w:p>
        </w:tc>
      </w:tr>
      <w:tr>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r>
      <w:tr>
        <w:trPr>
          <w:trHeight w:val="380" w:hRule="atLeast"/>
        </w:trPr>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年度绩效指标完成情况</w:t>
            </w: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产出指标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名录库调查更新</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排放源数据审核</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8</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数量指标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2024年度自治州排放源统计年报技术分析报告</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9</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1份</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质量指标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技术分析报告验收合格率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时效指标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项目完成时限</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2025年11月11日</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7</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2024年12月10日前</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直接赋分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val="restart"/>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名录库调查更新费用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排放源数据审核费用</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20万元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经济成本指标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现场审核</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&lt;=5万元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=4.86万元</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5万元</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按照完成比例赋分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原始凭证</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偏差原因分析：此项指标已完成，偏差率为2.8%，偏差原因是：按照合同约定，已支付款项，故与实际产生偏差。偏差改进措施：我单位将在年末对项目实施情况进行绩效评价，通过绩效评价工作合理指导下一年项目预算编制，确保项目绩效工作高质量完成。</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社会效益指标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提高工业源、生活源、移动源污染物排放数据的准确性</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达成年度指标</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20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提高</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按评判等级赋分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r>
        <w:trPr>
          <w:trHeight w:val="380" w:hRule="atLeast"/>
        </w:trPr>
        <w:tc>
          <w:tcPr>
            <w:tcW w:type="dxa" w:w="593"/>
            <w:vMerge/>
            <w:tcBorders>
              <w:start w:sz="10" w:val="single"/>
              <w:top w:sz="10" w:val="single"/>
              <w:end w:sz="10" w:val="single"/>
              <w:bottom w:sz="10" w:val="single"/>
              <w:insideV w:sz="10" w:val="single"/>
            </w:tcBorders>
          </w:tcP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满意度指标</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对服务机构的满意度</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&gt;=95%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105.26%</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计划标准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95%</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满意度赋分</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工作资料</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此项指标已完成，存在偏差，偏差率为5.26%，偏差原因为： 我单位在设定本年度满意度目标时，秉持审慎性原则，充分考虑各类潜在风险因素，设定了≥94%的保守目标值，未充分预估实际服务过程中的优化空间，导致实际完成值与目标值出现偏差；下一年度改进措施：梳理本次服务中的有效做法，结合项目实际执行成效、服务对象反馈及行业标准，科学测算下一年度满意度目标值，适当提高目标阈值，以目标引领服务质量迭代升级，同时建立目标动态调整机制，确保目标设定的合理性与前瞻性。</w:t>
            </w:r>
          </w:p>
        </w:tc>
      </w:tr>
      <w:tr>
        <w:trPr>
          <w:trHeight w:val="380" w:hRule="atLeast"/>
        </w:trPr>
        <w:tc>
          <w:tcPr>
            <w:tcW w:type="dxa" w:w="593"/>
            <w:gridSpan w:val="4"/>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总分</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noWrap/>
          </w:tcPr>
          <w:p>
            <w:pPr>
              <w:spacing w:before="0" w:after="0" w:line="240" w:lineRule="auto"/>
              <w:jc w:val="center"/>
            </w:pPr>
            <w:r>
              <w:rPr>
                <w:rFonts w:ascii="宋体" w:hAnsi="宋体" w:eastAsia="宋体" w:cs="宋体"/>
                <w:b w:val="0"/>
                <w:i w:val="0"/>
                <w:sz w:val="18"/>
              </w:rPr>
              <w:t>100.00</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c>
          <w:tcPr>
            <w:tcW w:type="dxa" w:w="593"/>
            <w:tcBorders>
              <w:start w:sz="10" w:val="single"/>
              <w:top w:sz="10" w:val="single"/>
              <w:end w:sz="10" w:val="single"/>
              <w:bottom w:sz="10" w:val="single"/>
              <w:insideV w:sz="10" w:val="single"/>
            </w:tcBorders>
            <w:vAlign w:val="center"/>
          </w:tcPr>
          <w:p>
            <w:pPr>
              <w:spacing w:before="0" w:after="0" w:line="240" w:lineRule="auto"/>
              <w:jc w:val="center"/>
            </w:pPr>
            <w:r>
              <w:rPr>
                <w:rFonts w:ascii="宋体" w:hAnsi="宋体" w:eastAsia="宋体" w:cs="宋体"/>
                <w:b w:val="0"/>
                <w:i w:val="0"/>
                <w:sz w:val="18"/>
              </w:rPr>
              <w:t/>
            </w:r>
          </w:p>
        </w:tc>
      </w:tr>
    </w:tbl>
    <w:p>
      <w:r>
        <w:br w:type="page"/>
      </w:r>
    </w:p>
    <w:p>
      <w:pPr>
        <w:sectPr>
          <w:type w:val="continuous"/>
          <w:pgSz w:w="11906" w:h="16838"/>
          <w:pgMar w:top="1440" w:right="1800" w:bottom="1440" w:left="1800" w:header="851" w:footer="992" w:gutter="0"/>
          <w:cols w:space="720" w:num="1"/>
          <w:docGrid w:type="lines" w:linePitch="312" w:charSpace="0"/>
        </w:sectPr>
      </w:pPr>
    </w:p>
    <w:p>
      <w:pPr>
        <w:spacing w:line="640" w:lineRule="exact"/>
        <w:ind w:firstLine="640"/>
        <w:jc w:val="both"/>
        <w:outlineLvl w:val="2"/>
      </w:pPr>
      <w:r>
        <w:rPr>
          <w:rFonts w:ascii="黑体" w:hAnsi="黑体" w:eastAsia="黑体"/>
          <w:sz w:val="32"/>
        </w:rPr>
        <w:t>十二、其他需说明的事项</w:t>
      </w:r>
    </w:p>
    <w:p>
      <w:pPr>
        <w:spacing w:line="580" w:lineRule="exact"/>
        <w:ind w:firstLine="640"/>
        <w:jc w:val="both"/>
      </w:pPr>
      <w:r>
        <w:rPr>
          <w:rFonts w:ascii="仿宋_GB2312" w:hAnsi="仿宋_GB2312" w:eastAsia="仿宋_GB2312"/>
          <w:b w:val="0"/>
          <w:sz w:val="32"/>
        </w:rPr>
        <w:t>本年本单位其他项目2个，全年预算数26.78万元，全年执行数26.78万元。</w:t>
      </w:r>
    </w:p>
    <w:p>
      <w:r>
        <w:br w:type="page"/>
      </w:r>
    </w:p>
    <w:p>
      <w:pPr>
        <w:spacing w:lineRule="exact" w:line="600"/>
        <w:jc w:val="center"/>
        <w:outlineLvl w:val="0"/>
      </w:pPr>
      <w:r>
        <w:rPr>
          <w:rFonts w:ascii="黑体" w:hAnsi="黑体" w:eastAsia="黑体"/>
          <w:sz w:val="32"/>
        </w:rPr>
        <w:t>第三部分 专业名词解释</w:t>
      </w:r>
    </w:p>
    <w:p>
      <w:pPr>
        <w:spacing w:lineRule="exact" w:line="600"/>
        <w:ind w:firstLine="643" w:firstLineChars="200"/>
        <w:autoSpaceDE w:val="0"/>
        <w:autoSpaceDN w:val="0"/>
      </w:pPr>
      <w:r>
        <w:rPr>
          <w:rFonts w:ascii="仿宋_GB2312" w:hAnsi="仿宋_GB2312" w:eastAsia="仿宋_GB2312"/>
          <w:b/>
          <w:sz w:val="32"/>
        </w:rPr>
        <w:t>一、财政拨款收入：</w:t>
      </w:r>
      <w:r>
        <w:rPr>
          <w:rFonts w:ascii="仿宋_GB2312" w:hAnsi="仿宋_GB2312" w:eastAsia="仿宋_GB2312"/>
          <w:b w:val="0"/>
          <w:sz w:val="32"/>
        </w:rPr>
        <w:t>指单位本年度从同级财政部门取得的财政拨款，包括一般公共预算财政拨款、政府性基金预算财政拨款和国有资本经营预算财政拨款。</w:t>
      </w:r>
    </w:p>
    <w:p>
      <w:pPr>
        <w:spacing w:lineRule="exact" w:line="600"/>
        <w:ind w:firstLine="643" w:firstLineChars="200"/>
        <w:autoSpaceDE w:val="0"/>
        <w:autoSpaceDN w:val="0"/>
      </w:pPr>
      <w:r>
        <w:rPr>
          <w:rFonts w:ascii="仿宋_GB2312" w:hAnsi="仿宋_GB2312" w:eastAsia="仿宋_GB2312"/>
          <w:b/>
          <w:sz w:val="32"/>
        </w:rPr>
        <w:t>二、上级补助收入：</w:t>
      </w:r>
      <w:r>
        <w:rPr>
          <w:rFonts w:ascii="仿宋_GB2312" w:hAnsi="仿宋_GB2312" w:eastAsia="仿宋_GB2312"/>
          <w:b w:val="0"/>
          <w:sz w:val="32"/>
        </w:rPr>
        <w:t>指事业单位从主管部门和上级单位取得的非财政补助收入。</w:t>
      </w:r>
    </w:p>
    <w:p>
      <w:pPr>
        <w:spacing w:lineRule="exact" w:line="600"/>
        <w:ind w:firstLine="643" w:firstLineChars="200"/>
        <w:autoSpaceDE w:val="0"/>
        <w:autoSpaceDN w:val="0"/>
      </w:pPr>
      <w:r>
        <w:rPr>
          <w:rFonts w:ascii="仿宋_GB2312" w:hAnsi="仿宋_GB2312" w:eastAsia="仿宋_GB2312"/>
          <w:b/>
          <w:sz w:val="32"/>
        </w:rPr>
        <w:t>三、事业收入：</w:t>
      </w:r>
      <w:r>
        <w:rPr>
          <w:rFonts w:ascii="仿宋_GB2312" w:hAnsi="仿宋_GB2312" w:eastAsia="仿宋_GB2312"/>
          <w:b w:val="0"/>
          <w:sz w:val="32"/>
        </w:rPr>
        <w:t>指事业单位开展专业业务活动及其辅助活动取得的收入。</w:t>
      </w:r>
    </w:p>
    <w:p>
      <w:pPr>
        <w:spacing w:lineRule="exact" w:line="600"/>
        <w:ind w:firstLine="643" w:firstLineChars="200"/>
        <w:autoSpaceDE w:val="0"/>
        <w:autoSpaceDN w:val="0"/>
      </w:pPr>
      <w:r>
        <w:rPr>
          <w:rFonts w:ascii="仿宋_GB2312" w:hAnsi="仿宋_GB2312" w:eastAsia="仿宋_GB2312"/>
          <w:b/>
          <w:sz w:val="32"/>
        </w:rPr>
        <w:t>四、经营收入：</w:t>
      </w:r>
      <w:r>
        <w:rPr>
          <w:rFonts w:ascii="仿宋_GB2312" w:hAnsi="仿宋_GB2312" w:eastAsia="仿宋_GB2312"/>
          <w:b w:val="0"/>
          <w:sz w:val="32"/>
        </w:rPr>
        <w:t>指事业单位在专业业务活动及其辅助活动之外开展非独立核算经营活动取得的收入。</w:t>
      </w:r>
    </w:p>
    <w:p>
      <w:pPr>
        <w:spacing w:lineRule="exact" w:line="600"/>
        <w:ind w:firstLine="643" w:firstLineChars="200"/>
        <w:autoSpaceDE w:val="0"/>
        <w:autoSpaceDN w:val="0"/>
      </w:pPr>
      <w:r>
        <w:rPr>
          <w:rFonts w:ascii="仿宋_GB2312" w:hAnsi="仿宋_GB2312" w:eastAsia="仿宋_GB2312"/>
          <w:b/>
          <w:sz w:val="32"/>
        </w:rPr>
        <w:t>五、附属单位上缴收入：</w:t>
      </w:r>
      <w:r>
        <w:rPr>
          <w:rFonts w:ascii="仿宋_GB2312" w:hAnsi="仿宋_GB2312" w:eastAsia="仿宋_GB2312"/>
          <w:b w:val="0"/>
          <w:sz w:val="32"/>
        </w:rPr>
        <w:t>指事业单位附属独立核算单位按照有关规定上缴的收入。</w:t>
      </w:r>
    </w:p>
    <w:p>
      <w:pPr>
        <w:spacing w:lineRule="exact" w:line="600"/>
        <w:ind w:firstLine="643" w:firstLineChars="200"/>
        <w:autoSpaceDE w:val="0"/>
        <w:autoSpaceDN w:val="0"/>
      </w:pPr>
      <w:r>
        <w:rPr>
          <w:rFonts w:ascii="仿宋_GB2312" w:hAnsi="仿宋_GB2312" w:eastAsia="仿宋_GB2312"/>
          <w:b/>
          <w:sz w:val="32"/>
        </w:rPr>
        <w:t>六、其他收入：</w:t>
      </w:r>
      <w:r>
        <w:rPr>
          <w:rFonts w:ascii="仿宋_GB2312" w:hAnsi="仿宋_GB2312" w:eastAsia="仿宋_GB2312"/>
          <w:b w:val="0"/>
          <w:sz w:val="32"/>
        </w:rPr>
        <w:t>指单位取得的除上述“财政拨款收入”“上级补助收入”“事业收入”“经营收入”“附属单位上缴收入”以外的各项收入。</w:t>
      </w:r>
    </w:p>
    <w:p>
      <w:pPr>
        <w:spacing w:lineRule="exact" w:line="600"/>
        <w:ind w:firstLine="643" w:firstLineChars="200"/>
        <w:autoSpaceDE w:val="0"/>
        <w:autoSpaceDN w:val="0"/>
      </w:pPr>
      <w:r>
        <w:rPr>
          <w:rFonts w:ascii="仿宋_GB2312" w:hAnsi="仿宋_GB2312" w:eastAsia="仿宋_GB2312"/>
          <w:b/>
          <w:sz w:val="32"/>
        </w:rPr>
        <w:t>七、年初结转和结余：</w:t>
      </w:r>
      <w:r>
        <w:rPr>
          <w:rFonts w:ascii="仿宋_GB2312" w:hAnsi="仿宋_GB2312" w:eastAsia="仿宋_GB2312"/>
          <w:b w:val="0"/>
          <w:sz w:val="32"/>
        </w:rPr>
        <w:t>指单位上年结转本年使用的基本支出结转、项目支出结转和结余、经营结余。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八、使用非财政拨款结余（含专用结余）：</w:t>
      </w:r>
      <w:r>
        <w:rPr>
          <w:rFonts w:ascii="仿宋_GB2312" w:hAnsi="仿宋_GB2312" w:eastAsia="仿宋_GB2312"/>
          <w:b w:val="0"/>
          <w:sz w:val="32"/>
        </w:rPr>
        <w:t>指单位按照预算管理要求使用非财政拨款结余弥补收支差额的金额，以及使用专用结余安排支出的金额。</w:t>
      </w:r>
    </w:p>
    <w:p>
      <w:pPr>
        <w:spacing w:lineRule="exact" w:line="600"/>
        <w:ind w:firstLine="643" w:firstLineChars="200"/>
        <w:autoSpaceDE w:val="0"/>
        <w:autoSpaceDN w:val="0"/>
      </w:pPr>
      <w:r>
        <w:rPr>
          <w:rFonts w:ascii="仿宋_GB2312" w:hAnsi="仿宋_GB2312" w:eastAsia="仿宋_GB2312"/>
          <w:b/>
          <w:sz w:val="32"/>
        </w:rPr>
        <w:t>九、结余分配：</w:t>
      </w:r>
      <w:r>
        <w:rPr>
          <w:rFonts w:ascii="仿宋_GB2312" w:hAnsi="仿宋_GB2312" w:eastAsia="仿宋_GB2312"/>
          <w:b w:val="0"/>
          <w:sz w:val="32"/>
        </w:rPr>
        <w:t>指单位缴纳企业所得税以及从非财政拨款结余或经营结余中提取各类结余的情况。</w:t>
      </w:r>
    </w:p>
    <w:p>
      <w:pPr>
        <w:spacing w:lineRule="exact" w:line="600"/>
        <w:ind w:firstLine="643" w:firstLineChars="200"/>
        <w:autoSpaceDE w:val="0"/>
        <w:autoSpaceDN w:val="0"/>
      </w:pPr>
      <w:r>
        <w:rPr>
          <w:rFonts w:ascii="仿宋_GB2312" w:hAnsi="仿宋_GB2312" w:eastAsia="仿宋_GB2312"/>
          <w:b/>
          <w:sz w:val="32"/>
        </w:rPr>
        <w:t>十、年末结转和结余：</w:t>
      </w:r>
      <w:r>
        <w:rPr>
          <w:rFonts w:ascii="仿宋_GB2312" w:hAnsi="仿宋_GB2312" w:eastAsia="仿宋_GB2312"/>
          <w:b w:val="0"/>
          <w:sz w:val="32"/>
        </w:rPr>
        <w:t>指单位结转下年的基本支出结转、项目支出结转和结余、经营结余。</w:t>
      </w:r>
    </w:p>
    <w:p>
      <w:pPr>
        <w:spacing w:lineRule="exact" w:line="600"/>
        <w:ind w:firstLine="643" w:firstLineChars="200"/>
        <w:autoSpaceDE w:val="0"/>
        <w:autoSpaceDN w:val="0"/>
      </w:pPr>
      <w:r>
        <w:rPr>
          <w:rFonts w:ascii="仿宋_GB2312" w:hAnsi="仿宋_GB2312" w:eastAsia="仿宋_GB2312"/>
          <w:b/>
          <w:sz w:val="32"/>
        </w:rPr>
        <w:t>十一、基本支出：</w:t>
      </w:r>
      <w:r>
        <w:rPr>
          <w:rFonts w:ascii="仿宋_GB2312" w:hAnsi="仿宋_GB2312" w:eastAsia="仿宋_GB2312"/>
          <w:b w:val="0"/>
          <w:sz w:val="32"/>
        </w:rPr>
        <w:t>指单位为保障机构正常运转、完成日常工作任务而发生的各项支出。</w:t>
      </w:r>
    </w:p>
    <w:p>
      <w:pPr>
        <w:spacing w:lineRule="exact" w:line="600"/>
        <w:ind w:firstLine="643" w:firstLineChars="200"/>
        <w:autoSpaceDE w:val="0"/>
        <w:autoSpaceDN w:val="0"/>
      </w:pPr>
      <w:r>
        <w:rPr>
          <w:rFonts w:ascii="仿宋_GB2312" w:hAnsi="仿宋_GB2312" w:eastAsia="仿宋_GB2312"/>
          <w:b/>
          <w:sz w:val="32"/>
        </w:rPr>
        <w:t>十二、项目支出：</w:t>
      </w:r>
      <w:r>
        <w:rPr>
          <w:rFonts w:ascii="仿宋_GB2312" w:hAnsi="仿宋_GB2312" w:eastAsia="仿宋_GB2312"/>
          <w:b w:val="0"/>
          <w:sz w:val="32"/>
        </w:rPr>
        <w:t>指单位为完成特定的行政工作任务或事业发展目标，在基本支出之外发生的各项支出。</w:t>
      </w:r>
    </w:p>
    <w:p>
      <w:pPr>
        <w:spacing w:lineRule="exact" w:line="600"/>
        <w:ind w:firstLine="643" w:firstLineChars="200"/>
        <w:autoSpaceDE w:val="0"/>
        <w:autoSpaceDN w:val="0"/>
      </w:pPr>
      <w:r>
        <w:rPr>
          <w:rFonts w:ascii="仿宋_GB2312" w:hAnsi="仿宋_GB2312" w:eastAsia="仿宋_GB2312"/>
          <w:b/>
          <w:sz w:val="32"/>
        </w:rPr>
        <w:t>十三、上缴上级支出：</w:t>
      </w:r>
      <w:r>
        <w:rPr>
          <w:rFonts w:ascii="仿宋_GB2312" w:hAnsi="仿宋_GB2312" w:eastAsia="仿宋_GB2312"/>
          <w:b w:val="0"/>
          <w:sz w:val="32"/>
        </w:rPr>
        <w:t>指事业单位按照财政部门和主管部门的规定上缴上级单位的支出。</w:t>
      </w:r>
    </w:p>
    <w:p>
      <w:pPr>
        <w:spacing w:lineRule="exact" w:line="600"/>
        <w:ind w:firstLine="643" w:firstLineChars="200"/>
        <w:autoSpaceDE w:val="0"/>
        <w:autoSpaceDN w:val="0"/>
      </w:pPr>
      <w:r>
        <w:rPr>
          <w:rFonts w:ascii="仿宋_GB2312" w:hAnsi="仿宋_GB2312" w:eastAsia="仿宋_GB2312"/>
          <w:b/>
          <w:sz w:val="32"/>
        </w:rPr>
        <w:t>十四、经营支出：</w:t>
      </w:r>
      <w:r>
        <w:rPr>
          <w:rFonts w:ascii="仿宋_GB2312" w:hAnsi="仿宋_GB2312" w:eastAsia="仿宋_GB2312"/>
          <w:b w:val="0"/>
          <w:sz w:val="32"/>
        </w:rPr>
        <w:t>指事业单位在专业活动及辅助活动之外开展非独立核算经营活动发生的支出。</w:t>
      </w:r>
    </w:p>
    <w:p>
      <w:pPr>
        <w:spacing w:lineRule="exact" w:line="600"/>
        <w:ind w:firstLine="643" w:firstLineChars="200"/>
        <w:autoSpaceDE w:val="0"/>
        <w:autoSpaceDN w:val="0"/>
      </w:pPr>
      <w:r>
        <w:rPr>
          <w:rFonts w:ascii="仿宋_GB2312" w:hAnsi="仿宋_GB2312" w:eastAsia="仿宋_GB2312"/>
          <w:b/>
          <w:sz w:val="32"/>
        </w:rPr>
        <w:t>十五、对附属单位补助支出：</w:t>
      </w:r>
      <w:r>
        <w:rPr>
          <w:rFonts w:ascii="仿宋_GB2312" w:hAnsi="仿宋_GB2312" w:eastAsia="仿宋_GB2312"/>
          <w:b w:val="0"/>
          <w:sz w:val="32"/>
        </w:rPr>
        <w:t>指事业单位用财政补助收入之外的收入对附属单位补助发生的支出。</w:t>
      </w:r>
    </w:p>
    <w:p>
      <w:pPr>
        <w:spacing w:lineRule="exact" w:line="600"/>
        <w:ind w:firstLine="643" w:firstLineChars="200"/>
        <w:autoSpaceDE w:val="0"/>
        <w:autoSpaceDN w:val="0"/>
      </w:pPr>
      <w:r>
        <w:rPr>
          <w:rFonts w:ascii="仿宋_GB2312" w:hAnsi="仿宋_GB2312" w:eastAsia="仿宋_GB2312"/>
          <w:b/>
          <w:sz w:val="32"/>
        </w:rPr>
        <w:t>十六、“三公”经费：</w:t>
      </w:r>
      <w:r>
        <w:rPr>
          <w:rFonts w:ascii="仿宋_GB2312" w:hAnsi="仿宋_GB2312" w:eastAsia="仿宋_GB2312"/>
          <w:b w:val="0"/>
          <w:sz w:val="32"/>
        </w:rPr>
        <w:t>指单位使用财政拨款安排的因公出国（境）费用、公务用车购置及运行维护费和公务接待费。其中，因公出国（境）费用反映单位公务出国（境）的国际旅费、国外城市间交通费、住宿费、伙食费、培训费、公杂费等支出；公务用车购置费反映公务用车购置支出（含车辆购置税、牌照费）；公务用车运行维护费反映单位按规定保留的公务用车燃料费、新能源汽车充电费、维修费、过路过桥费、保险费、安全奖励费用等支出；公务接待费反映单位按规定开支的各类公务接待（含外宾接待）费用。</w:t>
      </w:r>
    </w:p>
    <w:p>
      <w:pPr>
        <w:spacing w:lineRule="exact" w:line="600"/>
        <w:ind w:firstLine="643" w:firstLineChars="200"/>
        <w:autoSpaceDE w:val="0"/>
        <w:autoSpaceDN w:val="0"/>
      </w:pPr>
      <w:r>
        <w:rPr>
          <w:rFonts w:ascii="仿宋_GB2312" w:hAnsi="仿宋_GB2312" w:eastAsia="仿宋_GB2312"/>
          <w:b/>
          <w:sz w:val="32"/>
        </w:rPr>
        <w:t>十七、机关运行经费：</w:t>
      </w:r>
      <w:r>
        <w:rPr>
          <w:rFonts w:ascii="仿宋_GB2312" w:hAnsi="仿宋_GB2312" w:eastAsia="仿宋_GB2312"/>
          <w:b w:val="0"/>
          <w:sz w:val="32"/>
        </w:rPr>
        <w:t>指行政单位和参照公务员法管理的事业单位财政拨款基本支出中的公用经费支出。</w:t>
      </w:r>
    </w:p>
    <w:p>
      <w:r>
        <w:br w:type="page"/>
      </w:r>
    </w:p>
    <w:p>
      <w:pPr>
        <w:spacing w:line="240" w:lineRule="auto"/>
        <w:jc w:val="center"/>
        <w:outlineLvl w:val="1"/>
      </w:pPr>
      <w:r>
        <w:rPr>
          <w:rFonts w:ascii="黑体" w:hAnsi="黑体" w:eastAsia="黑体"/>
          <w:sz w:val="32"/>
        </w:rPr>
        <w:t>第四部分 部门决算报表（见附表）</w:t>
      </w:r>
    </w:p>
    <w:p>
      <w:pPr>
        <w:spacing w:lineRule="exact" w:line="600"/>
        <w:ind w:firstLine="643" w:firstLineChars="200"/>
        <w:autoSpaceDE w:val="0"/>
        <w:autoSpaceDN w:val="0"/>
      </w:pPr>
      <w:r>
        <w:rPr>
          <w:rFonts w:ascii="仿宋_GB2312" w:hAnsi="仿宋_GB2312" w:eastAsia="仿宋_GB2312"/>
          <w:b w:val="0"/>
          <w:sz w:val="32"/>
        </w:rPr>
        <w:t>一、《收入支出决算总表》</w:t>
      </w:r>
    </w:p>
    <w:p>
      <w:pPr>
        <w:spacing w:lineRule="exact" w:line="600"/>
        <w:ind w:firstLine="643" w:firstLineChars="200"/>
        <w:autoSpaceDE w:val="0"/>
        <w:autoSpaceDN w:val="0"/>
      </w:pPr>
      <w:r>
        <w:rPr>
          <w:rFonts w:ascii="仿宋_GB2312" w:hAnsi="仿宋_GB2312" w:eastAsia="仿宋_GB2312"/>
          <w:b w:val="0"/>
          <w:sz w:val="32"/>
        </w:rPr>
        <w:t>二、《收入决算表》</w:t>
      </w:r>
    </w:p>
    <w:p>
      <w:pPr>
        <w:spacing w:lineRule="exact" w:line="600"/>
        <w:ind w:firstLine="643" w:firstLineChars="200"/>
        <w:autoSpaceDE w:val="0"/>
        <w:autoSpaceDN w:val="0"/>
      </w:pPr>
      <w:r>
        <w:rPr>
          <w:rFonts w:ascii="仿宋_GB2312" w:hAnsi="仿宋_GB2312" w:eastAsia="仿宋_GB2312"/>
          <w:b w:val="0"/>
          <w:sz w:val="32"/>
        </w:rPr>
        <w:t>三、《支出决算表》</w:t>
      </w:r>
    </w:p>
    <w:p>
      <w:pPr>
        <w:spacing w:lineRule="exact" w:line="600"/>
        <w:ind w:firstLine="643" w:firstLineChars="200"/>
        <w:autoSpaceDE w:val="0"/>
        <w:autoSpaceDN w:val="0"/>
      </w:pPr>
      <w:r>
        <w:rPr>
          <w:rFonts w:ascii="仿宋_GB2312" w:hAnsi="仿宋_GB2312" w:eastAsia="仿宋_GB2312"/>
          <w:b w:val="0"/>
          <w:sz w:val="32"/>
        </w:rPr>
        <w:t>四、《财政拨款收入支出决算总表》</w:t>
      </w:r>
    </w:p>
    <w:p>
      <w:pPr>
        <w:spacing w:lineRule="exact" w:line="600"/>
        <w:ind w:firstLine="643" w:firstLineChars="200"/>
        <w:autoSpaceDE w:val="0"/>
        <w:autoSpaceDN w:val="0"/>
      </w:pPr>
      <w:r>
        <w:rPr>
          <w:rFonts w:ascii="仿宋_GB2312" w:hAnsi="仿宋_GB2312" w:eastAsia="仿宋_GB2312"/>
          <w:b w:val="0"/>
          <w:sz w:val="32"/>
        </w:rPr>
        <w:t>五、《一般公共预算财政拨款支出决算表》</w:t>
      </w:r>
    </w:p>
    <w:p>
      <w:pPr>
        <w:spacing w:lineRule="exact" w:line="600"/>
        <w:ind w:firstLine="643" w:firstLineChars="200"/>
        <w:autoSpaceDE w:val="0"/>
        <w:autoSpaceDN w:val="0"/>
      </w:pPr>
      <w:r>
        <w:rPr>
          <w:rFonts w:ascii="仿宋_GB2312" w:hAnsi="仿宋_GB2312" w:eastAsia="仿宋_GB2312"/>
          <w:b w:val="0"/>
          <w:sz w:val="32"/>
        </w:rPr>
        <w:t>六、《一般公共预算财政拨款基本支出决算表》</w:t>
      </w:r>
    </w:p>
    <w:p>
      <w:pPr>
        <w:spacing w:lineRule="exact" w:line="600"/>
        <w:ind w:firstLine="643" w:firstLineChars="200"/>
        <w:autoSpaceDE w:val="0"/>
        <w:autoSpaceDN w:val="0"/>
      </w:pPr>
      <w:r>
        <w:rPr>
          <w:rFonts w:ascii="仿宋_GB2312" w:hAnsi="仿宋_GB2312" w:eastAsia="仿宋_GB2312"/>
          <w:b w:val="0"/>
          <w:sz w:val="32"/>
        </w:rPr>
        <w:t>七、《政府性基金预算财政拨款收入支出决算表》</w:t>
      </w:r>
    </w:p>
    <w:p>
      <w:pPr>
        <w:spacing w:lineRule="exact" w:line="600"/>
        <w:ind w:firstLine="643" w:firstLineChars="200"/>
        <w:autoSpaceDE w:val="0"/>
        <w:autoSpaceDN w:val="0"/>
      </w:pPr>
      <w:r>
        <w:rPr>
          <w:rFonts w:ascii="仿宋_GB2312" w:hAnsi="仿宋_GB2312" w:eastAsia="仿宋_GB2312"/>
          <w:b w:val="0"/>
          <w:sz w:val="32"/>
        </w:rPr>
        <w:t>八、《国有资本经营预算财政拨款收入支出决算表》</w:t>
      </w:r>
    </w:p>
    <w:p>
      <w:pPr>
        <w:spacing w:lineRule="exact" w:line="600"/>
        <w:ind w:firstLine="643" w:firstLineChars="200"/>
        <w:autoSpaceDE w:val="0"/>
        <w:autoSpaceDN w:val="0"/>
      </w:pPr>
      <w:r>
        <w:rPr>
          <w:rFonts w:ascii="仿宋_GB2312" w:hAnsi="仿宋_GB2312" w:eastAsia="仿宋_GB2312"/>
          <w:b w:val="0"/>
          <w:sz w:val="32"/>
        </w:rPr>
        <w:t>九、《财政拨款“三公”经费支出决算表》</w:t>
      </w: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p>
      <w:pPr>
        <w:spacing w:lineRule="exact" w:line="600"/>
        <w:ind w:firstLine="643" w:firstLineChars="200"/>
        <w:autoSpaceDE w:val="0"/>
        <w:autoSpaceDN w:val="0"/>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EA382358-5FB0-4BFB-AA9D-340FD89383CE}"/>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_GBK">
    <w:altName w:val="微软雅黑"/>
    <w:panose1 w:val="00000000000000000000"/>
    <w:charset w:val="86"/>
    <w:family w:val="script"/>
    <w:pitch w:val="default"/>
    <w:sig w:usb0="00000000" w:usb1="00000000" w:usb2="00082016" w:usb3="00000000" w:csb0="00040001" w:csb1="00000000"/>
    <w:embedRegular r:id="rId2" w:fontKey="{B0E6D792-6E8F-4F84-99FA-9970FA3A7C22}"/>
  </w:font>
  <w:font w:name="仿宋_GB2312">
    <w:altName w:val="微软雅黑"/>
    <w:panose1 w:val="02010609030101010101"/>
    <w:charset w:val="86"/>
    <w:family w:val="modern"/>
    <w:pitch w:val="default"/>
    <w:sig w:usb0="00000001" w:usb1="080E0000" w:usb2="00000000" w:usb3="00000000" w:csb0="00040000" w:csb1="00000000"/>
    <w:embedRegular r:id="rId3" w:fontKey="{45C515A8-30E2-40B7-BB08-E73601327DDD}"/>
  </w:font>
  <w:font w:name="微软雅黑">
    <w:panose1 w:val="020B0503020204020204"/>
    <w:charset w:val="86"/>
    <w:family w:val="auto"/>
    <w:pitch w:val="default"/>
    <w:sig w:usb0="80000287" w:usb1="2ACF3C50" w:usb2="00000016" w:usb3="00000000" w:csb0="0004001F" w:csb1="00000000"/>
  </w:font>
  <w:font w:name="KSOF8080F95D">
    <w:panose1 w:val="020B0503020204020204"/>
    <w:charset w:val="86"/>
    <w:family w:val="auto"/>
    <w:pitch w:val="default"/>
    <w:sig w:usb0="00000001" w:usb1="00000000" w:usb2="00000000" w:usb3="00000000" w:csb0="00040001" w:csb1="00000000"/>
  </w:font>
  <w:font w:name="WPSEMBED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1994FD">
    <w:pPr>
      <w:pStyle w:val="4"/>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wps:txbx>
                    <wps:bodyPr vert="horz" wrap="none" lIns="0" tIns="0" rIns="0" bIns="0" anchor="t" anchorCtr="0">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">
              <v:fill on="f" focussize="0,0"/>
              <v:stroke on="f"/>
              <v:imagedata o:title=""/>
              <o:lock v:ext="edit" aspectratio="f"/>
              <v:textbox inset="0mm,0mm,0mm,0mm" style="mso-fit-shape-to-text:t;">
                <w:txbxContent>
                  <w:p w14:paraId="106890CC">
                    <w:pPr>
                      <w:pStyle w:val="4"/>
                    </w:pPr>
                    <w:r>
                      <w:rPr>
                        <w:rFonts w:hint="eastAsia"/>
                      </w:rPr>
                      <w:fldChar w:fldCharType="begin"/>
                    </w:r>
                    <w:r>
                      <w:rPr>
                        <w:rFonts w:hint="eastAsia"/>
                      </w:rPr>
                      <w:instrText xml:space="preserve"> PAGE  \* MERGEFORMAT </w:instrText>
                    </w:r>
                    <w:r>
                      <w:rPr>
                        <w:rFonts w:hint="eastAsia"/>
                      </w:rPr>
                      <w:fldChar w:fldCharType="separate"/>
                    </w:r>
                    <w:r>
                      <w:rPr>
                        <w:rFonts w:hint="eastAsia"/>
                      </w:rPr>
                      <w:t>1</w:t>
                    </w:r>
                    <w:r>
                      <w:rPr>
                        <w:rFonts w:hint="eastAsia"/>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TrueTypeFonts/>
  <w:saveSubset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AwYmRmZTlkODBlYWI2MWEzOGMyNWRlOTFmY2QzMTQifQ=="/>
  </w:docVars>
  <w:rsids>
    <w:rsidRoot w:val="00672051"/>
    <w:rsid w:val="000D14C6"/>
    <w:rsid w:val="002D017C"/>
    <w:rsid w:val="0039186B"/>
    <w:rsid w:val="00644722"/>
    <w:rsid w:val="00672051"/>
    <w:rsid w:val="006B29E4"/>
    <w:rsid w:val="00702FBA"/>
    <w:rsid w:val="00982448"/>
    <w:rsid w:val="009D5C6A"/>
    <w:rsid w:val="00A22425"/>
    <w:rsid w:val="00D34B7C"/>
    <w:rsid w:val="00F14B19"/>
    <w:rsid w:val="02F73D26"/>
    <w:rsid w:val="034D4FEF"/>
    <w:rsid w:val="03DE0026"/>
    <w:rsid w:val="03E2747C"/>
    <w:rsid w:val="043E5B56"/>
    <w:rsid w:val="04EF7C1A"/>
    <w:rsid w:val="06792773"/>
    <w:rsid w:val="06896151"/>
    <w:rsid w:val="09A729D8"/>
    <w:rsid w:val="0A7B4867"/>
    <w:rsid w:val="0AC260D6"/>
    <w:rsid w:val="0B8C3ECC"/>
    <w:rsid w:val="0BC24C29"/>
    <w:rsid w:val="0C3613A3"/>
    <w:rsid w:val="0C7227A7"/>
    <w:rsid w:val="0DCA6EF7"/>
    <w:rsid w:val="0E4B1576"/>
    <w:rsid w:val="11E15093"/>
    <w:rsid w:val="120E0809"/>
    <w:rsid w:val="181A30AD"/>
    <w:rsid w:val="1875698D"/>
    <w:rsid w:val="19071D6C"/>
    <w:rsid w:val="1C317E4F"/>
    <w:rsid w:val="1C472464"/>
    <w:rsid w:val="1DAF458D"/>
    <w:rsid w:val="1E086ACE"/>
    <w:rsid w:val="1EAA4A5F"/>
    <w:rsid w:val="1F040613"/>
    <w:rsid w:val="1F587A0B"/>
    <w:rsid w:val="1FE96E5D"/>
    <w:rsid w:val="2064678E"/>
    <w:rsid w:val="20DD6197"/>
    <w:rsid w:val="21F317F2"/>
    <w:rsid w:val="2241392C"/>
    <w:rsid w:val="23BC04D2"/>
    <w:rsid w:val="25275618"/>
    <w:rsid w:val="27CF2642"/>
    <w:rsid w:val="282459E2"/>
    <w:rsid w:val="2A053397"/>
    <w:rsid w:val="2A444FB1"/>
    <w:rsid w:val="2A6064E2"/>
    <w:rsid w:val="2BA9200B"/>
    <w:rsid w:val="2D1136DF"/>
    <w:rsid w:val="2DAE0E44"/>
    <w:rsid w:val="2EB07E70"/>
    <w:rsid w:val="2F9E416C"/>
    <w:rsid w:val="2FD27414"/>
    <w:rsid w:val="313F1D52"/>
    <w:rsid w:val="318029AB"/>
    <w:rsid w:val="319D6C1C"/>
    <w:rsid w:val="31C63837"/>
    <w:rsid w:val="326F0A17"/>
    <w:rsid w:val="34623382"/>
    <w:rsid w:val="390019F4"/>
    <w:rsid w:val="3914510A"/>
    <w:rsid w:val="3B1220C9"/>
    <w:rsid w:val="3D5275AC"/>
    <w:rsid w:val="3D55093B"/>
    <w:rsid w:val="3EA7725F"/>
    <w:rsid w:val="40834692"/>
    <w:rsid w:val="423A32B2"/>
    <w:rsid w:val="464B7E04"/>
    <w:rsid w:val="46901EEE"/>
    <w:rsid w:val="469C74D2"/>
    <w:rsid w:val="47445515"/>
    <w:rsid w:val="48E21116"/>
    <w:rsid w:val="49C97D5C"/>
    <w:rsid w:val="49F5131D"/>
    <w:rsid w:val="4AE426AE"/>
    <w:rsid w:val="4B4C0111"/>
    <w:rsid w:val="4D3F1CC6"/>
    <w:rsid w:val="4D730311"/>
    <w:rsid w:val="505A358E"/>
    <w:rsid w:val="50DB5F45"/>
    <w:rsid w:val="52F92565"/>
    <w:rsid w:val="55DA564E"/>
    <w:rsid w:val="56E07045"/>
    <w:rsid w:val="583059FA"/>
    <w:rsid w:val="587E6212"/>
    <w:rsid w:val="58D10A34"/>
    <w:rsid w:val="59973ABF"/>
    <w:rsid w:val="5A74678C"/>
    <w:rsid w:val="5AFC6609"/>
    <w:rsid w:val="5C3B09A8"/>
    <w:rsid w:val="5FA17648"/>
    <w:rsid w:val="613409CB"/>
    <w:rsid w:val="61A46A97"/>
    <w:rsid w:val="62DD7D21"/>
    <w:rsid w:val="65D97752"/>
    <w:rsid w:val="664C500C"/>
    <w:rsid w:val="670267B3"/>
    <w:rsid w:val="6773145F"/>
    <w:rsid w:val="68DB0208"/>
    <w:rsid w:val="69846A0E"/>
    <w:rsid w:val="69AD798C"/>
    <w:rsid w:val="6B68175F"/>
    <w:rsid w:val="6B8B5C99"/>
    <w:rsid w:val="6E0F7A08"/>
    <w:rsid w:val="6E801ABC"/>
    <w:rsid w:val="71473612"/>
    <w:rsid w:val="716B13F9"/>
    <w:rsid w:val="718F7F65"/>
    <w:rsid w:val="73423603"/>
    <w:rsid w:val="73DE4104"/>
    <w:rsid w:val="73FB6630"/>
    <w:rsid w:val="74CE04EC"/>
    <w:rsid w:val="74E76DCD"/>
    <w:rsid w:val="76660D7C"/>
    <w:rsid w:val="76CF72D3"/>
    <w:rsid w:val="77ED6F44"/>
    <w:rsid w:val="78B87A58"/>
    <w:rsid w:val="795A0A34"/>
    <w:rsid w:val="79FB30B5"/>
    <w:rsid w:val="7A0D3BC7"/>
    <w:rsid w:val="7A3A3CDB"/>
    <w:rsid w:val="7EAC4FE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qFormat="1"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32"/>
      <w:szCs w:val="24"/>
      <w:lang w:val="en-US" w:eastAsia="zh-CN" w:bidi="ar-SA"/>
    </w:rPr>
  </w:style>
  <w:style w:type="character" w:default="1" w:styleId="9">
    <w:name w:val="Default Paragraph Font"/>
    <w:semiHidden/>
    <w:unhideWhenUsed/>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toc 3"/>
    <w:basedOn w:val="1"/>
    <w:next w:val="1"/>
    <w:qFormat/>
    <w:uiPriority w:val="0"/>
    <w:pPr>
      <w:ind w:left="840" w:leftChars="400"/>
    </w:pPr>
  </w:style>
  <w:style w:type="paragraph" w:styleId="4">
    <w:name w:val="footer"/>
    <w:basedOn w:val="1"/>
    <w:qFormat/>
    <w:uiPriority w:val="0"/>
    <w:pPr>
      <w:tabs>
        <w:tab w:val="center" w:pos="4153"/>
        <w:tab w:val="right" w:pos="8306"/>
      </w:tabs>
      <w:snapToGrid w:val="0"/>
      <w:jc w:val="left"/>
    </w:pPr>
    <w:rPr>
      <w:sz w:val="18"/>
    </w:rPr>
  </w:style>
  <w:style w:type="paragraph" w:styleId="5">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6">
    <w:name w:val="toc 1"/>
    <w:basedOn w:val="1"/>
    <w:next w:val="1"/>
    <w:qFormat/>
    <w:uiPriority w:val="0"/>
  </w:style>
  <w:style w:type="paragraph" w:styleId="7">
    <w:name w:val="toc 2"/>
    <w:basedOn w:val="1"/>
    <w:next w:val="1"/>
    <w:qFormat/>
    <w:uiPriority w:val="0"/>
    <w:pPr>
      <w:ind w:left="420" w:leftChars="200"/>
    </w:pPr>
  </w:style>
  <w:style w:type="paragraph" w:customStyle="1" w:styleId="10">
    <w:name w:val="WPSOffice手动目录 3"/>
    <w:qFormat/>
    <w:uiPriority w:val="0"/>
    <w:pPr>
      <w:ind w:left="400" w:leftChars="400"/>
    </w:pPr>
    <w:rPr>
      <w:rFonts w:ascii="Times New Roman" w:hAnsi="Times New Roman" w:eastAsia="宋体" w:cs="Times New Roman"/>
      <w:lang w:val="en-US" w:eastAsia="zh-CN" w:bidi="ar-SA"/>
    </w:rPr>
  </w:style>
  <w:style w:type="paragraph" w:customStyle="1" w:styleId="11">
    <w:name w:val="WPSOffice手动目录 2"/>
    <w:qFormat/>
    <w:uiPriority w:val="0"/>
    <w:pPr>
      <w:ind w:left="200" w:leftChars="200"/>
    </w:pPr>
    <w:rPr>
      <w:rFonts w:ascii="Times New Roman" w:hAnsi="Times New Roman" w:eastAsia="宋体" w:cs="Times New Roman"/>
      <w:lang w:val="en-US" w:eastAsia="zh-CN" w:bidi="ar-SA"/>
    </w:rPr>
  </w:style>
  <w:style w:type="paragraph" w:customStyle="1" w:styleId="12">
    <w:name w:val="WPSOffice手动目录 1"/>
    <w:qFormat/>
    <w:uiPriority w:val="0"/>
    <w:rPr>
      <w:rFonts w:ascii="Times New Roman" w:hAnsi="Times New Roman" w:eastAsia="宋体" w:cs="Times New Roman"/>
      <w:lang w:val="en-US" w:eastAsia="zh-CN"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2.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0D2BC71-196F-4E8D-B958-07750D1EE8B3}">
  <ds:schemaRefs/>
</ds:datastoreItem>
</file>

<file path=docProps/app.xml><?xml version="1.0" encoding="utf-8"?>
<Properties xmlns="http://schemas.openxmlformats.org/officeDocument/2006/extended-properties" xmlns:vt="http://schemas.openxmlformats.org/officeDocument/2006/docPropsVTypes">
  <Template>Normal.dotm</Template>
  <Pages>3</Pages>
  <Words>519</Words>
  <Characters>537</Characters>
  <Lines>10</Lines>
  <Paragraphs>2</Paragraphs>
  <TotalTime>7</TotalTime>
  <ScaleCrop>false</ScaleCrop>
  <LinksUpToDate>false</LinksUpToDate>
  <CharactersWithSpaces>543</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2026-07-22T07:37:00Z</dcterms:created>
  <dc:creator>GXR</dc:creator>
  <cp:lastModifiedBy>净</cp:lastModifiedBy>
  <cp:lastPrinted>2024-07-22T11:58:00Z</cp:lastPrinted>
  <dcterms:modified xsi:type="dcterms:W3CDTF">2026-08-25T03:09:34Z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8FDA567F26D84A8C8A1B02E29FDE1AE6_13</vt:lpwstr>
  </property>
  <property fmtid="{D5CDD505-2E9C-101B-9397-08002B2CF9AE}" pid="4" name="KSOTemplateDocerSaveRecord">
    <vt:lpwstr>eyJoZGlkIjoiYzdkNWY5OGM4OTRiMDBlYmMyNmZmZGZhMDgxMzY1MzQiLCJ1c2VySWQiOiI0MDU5MTQxNzUifQ==</vt:lpwstr>
  </property>
</Properties>
</file>