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昌吉回族自治州人民代表大会常务委员会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（一）在本行政区域内，保证宪法、法律、行政法规和上级人民代表大会及其常务委员会决议的遵守和执行。</w:t>
      </w:r>
    </w:p>
    <w:p>
      <w:pPr>
        <w:spacing w:line="580" w:lineRule="exact"/>
        <w:ind w:firstLine="640"/>
        <w:jc w:val="both"/>
      </w:pPr>
      <w:r>
        <w:rPr>
          <w:rFonts w:ascii="仿宋_GB2312" w:hAnsi="仿宋_GB2312" w:eastAsia="仿宋_GB2312"/>
          <w:sz w:val="32"/>
        </w:rPr>
        <w:t>（二）领导或者主持本级人民代表大会代表的选举。</w:t>
      </w:r>
    </w:p>
    <w:p>
      <w:pPr>
        <w:spacing w:line="580" w:lineRule="exact"/>
        <w:ind w:firstLine="640"/>
        <w:jc w:val="both"/>
      </w:pPr>
      <w:r>
        <w:rPr>
          <w:rFonts w:ascii="仿宋_GB2312" w:hAnsi="仿宋_GB2312" w:eastAsia="仿宋_GB2312"/>
          <w:sz w:val="32"/>
        </w:rPr>
        <w:t>（三）召集本级人民代表大会议。</w:t>
      </w:r>
    </w:p>
    <w:p>
      <w:pPr>
        <w:spacing w:line="580" w:lineRule="exact"/>
        <w:ind w:firstLine="640"/>
        <w:jc w:val="both"/>
      </w:pPr>
      <w:r>
        <w:rPr>
          <w:rFonts w:ascii="仿宋_GB2312" w:hAnsi="仿宋_GB2312" w:eastAsia="仿宋_GB2312"/>
          <w:sz w:val="32"/>
        </w:rPr>
        <w:t>（四）讨论、决定本行政区域内的政治、经济、教育、科学、文化、卫生、环境和资源保护、民政、民族等工作的重大事项。</w:t>
      </w:r>
    </w:p>
    <w:p>
      <w:pPr>
        <w:spacing w:line="580" w:lineRule="exact"/>
        <w:ind w:firstLine="640"/>
        <w:jc w:val="both"/>
      </w:pPr>
      <w:r>
        <w:rPr>
          <w:rFonts w:ascii="仿宋_GB2312" w:hAnsi="仿宋_GB2312" w:eastAsia="仿宋_GB2312"/>
          <w:sz w:val="32"/>
        </w:rPr>
        <w:t>（五）根据本级人民政府的建议，决定对本行政区域内的国民经济和社会发展计划、预算的部分变更。</w:t>
      </w:r>
    </w:p>
    <w:p>
      <w:pPr>
        <w:spacing w:line="580" w:lineRule="exact"/>
        <w:ind w:firstLine="640"/>
        <w:jc w:val="both"/>
      </w:pPr>
      <w:r>
        <w:rPr>
          <w:rFonts w:ascii="仿宋_GB2312" w:hAnsi="仿宋_GB2312" w:eastAsia="仿宋_GB2312"/>
          <w:sz w:val="32"/>
        </w:rPr>
        <w:t>（六）监督本级人民政府、人民法院和人民检察院的工作，联系本级人民代表大会代表，受理人民群众对上述机关和国家工作人员的申诉和意见。</w:t>
      </w:r>
    </w:p>
    <w:p>
      <w:pPr>
        <w:spacing w:line="580" w:lineRule="exact"/>
        <w:ind w:firstLine="640"/>
        <w:jc w:val="both"/>
      </w:pPr>
      <w:r>
        <w:rPr>
          <w:rFonts w:ascii="仿宋_GB2312" w:hAnsi="仿宋_GB2312" w:eastAsia="仿宋_GB2312"/>
          <w:sz w:val="32"/>
        </w:rPr>
        <w:t>（七）撤销下一级人民代表大会及其常务委员会的不适当的决议。</w:t>
      </w:r>
    </w:p>
    <w:p>
      <w:pPr>
        <w:spacing w:line="580" w:lineRule="exact"/>
        <w:ind w:firstLine="640"/>
        <w:jc w:val="both"/>
      </w:pPr>
      <w:r>
        <w:rPr>
          <w:rFonts w:ascii="仿宋_GB2312" w:hAnsi="仿宋_GB2312" w:eastAsia="仿宋_GB2312"/>
          <w:sz w:val="32"/>
        </w:rPr>
        <w:t>（八）撤销本级人民政府的不适当的决定和命令。</w:t>
      </w:r>
    </w:p>
    <w:p>
      <w:pPr>
        <w:spacing w:line="580" w:lineRule="exact"/>
        <w:ind w:firstLine="640"/>
        <w:jc w:val="both"/>
      </w:pPr>
      <w:r>
        <w:rPr>
          <w:rFonts w:ascii="仿宋_GB2312" w:hAnsi="仿宋_GB2312" w:eastAsia="仿宋_GB2312"/>
          <w:sz w:val="32"/>
        </w:rPr>
        <w:t>（九）在本级人民代表大会闭会期间，决定“一府两院”个别组成人员的任免。</w:t>
      </w:r>
    </w:p>
    <w:p>
      <w:pPr>
        <w:spacing w:line="580" w:lineRule="exact"/>
        <w:ind w:firstLine="640"/>
        <w:jc w:val="both"/>
      </w:pPr>
      <w:r>
        <w:rPr>
          <w:rFonts w:ascii="仿宋_GB2312" w:hAnsi="仿宋_GB2312" w:eastAsia="仿宋_GB2312"/>
          <w:sz w:val="32"/>
        </w:rPr>
        <w:t>（十）在本级人民代表大会闭会期间，补选上一级人民代表大会出缺的代表和罢免个别代表。</w:t>
      </w:r>
    </w:p>
    <w:p>
      <w:pPr>
        <w:spacing w:line="580" w:lineRule="exact"/>
        <w:ind w:firstLine="640"/>
        <w:jc w:val="both"/>
      </w:pPr>
      <w:r>
        <w:rPr>
          <w:rFonts w:ascii="仿宋_GB2312" w:hAnsi="仿宋_GB2312" w:eastAsia="仿宋_GB2312"/>
          <w:sz w:val="32"/>
        </w:rPr>
        <w:t>（十一）决定授予地方的荣誉称号。</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昌吉回族自治州人民代表大会常务委员会无下属预算单位。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2025年度收入总计2,066.52万元，</w:t>
      </w:r>
      <w:r>
        <w:rPr>
          <w:rFonts w:ascii="仿宋_GB2312" w:hAnsi="仿宋_GB2312" w:eastAsia="仿宋_GB2312"/>
          <w:b w:val="0"/>
          <w:sz w:val="32"/>
        </w:rPr>
        <w:t>其中：本年收入合计1,979.96万元，使用非财政拨款结余（含专用结余）0.00万元，年初结转和结余86.56万元。</w:t>
      </w:r>
    </w:p>
    <w:p>
      <w:pPr>
        <w:spacing w:line="580" w:lineRule="exact"/>
        <w:ind w:firstLine="640"/>
        <w:jc w:val="both"/>
      </w:pPr>
      <w:r>
        <w:rPr>
          <w:rFonts w:ascii="仿宋_GB2312" w:hAnsi="仿宋_GB2312" w:eastAsia="仿宋_GB2312"/>
          <w:b/>
          <w:sz w:val="32"/>
        </w:rPr>
        <w:t>2025年度支出总计2,066.52万元，</w:t>
      </w:r>
      <w:r>
        <w:rPr>
          <w:rFonts w:ascii="仿宋_GB2312" w:hAnsi="仿宋_GB2312" w:eastAsia="仿宋_GB2312"/>
          <w:b w:val="0"/>
          <w:sz w:val="32"/>
        </w:rPr>
        <w:t>其中：本年支出合计2,001.15万元，结余分配0.00万元，年末结转和结余65.37万元。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增加86.24万元，增长4.35%，主要原因是：本年在职人员工资调增，导致相关人员经费较上年有所增加。新增死亡人员，死亡抚恤金支出增加。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本年收入1,979.96万元，</w:t>
      </w:r>
      <w:r>
        <w:rPr>
          <w:rFonts w:ascii="仿宋_GB2312" w:hAnsi="仿宋_GB2312" w:eastAsia="仿宋_GB2312"/>
          <w:b w:val="0"/>
          <w:sz w:val="32"/>
        </w:rPr>
        <w:t>其中：财政拨款收入1,939.18万元，占97.94%；上级补助收入0.00万元，占0.00%；事业收入0.00万元，占0.00%；经营收入0.00万元，占0.00%；附属单位上缴收入0.00万元，占0.00%；其他收入40.78万元，占2.06%。</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本年支出2,001.15万元，</w:t>
      </w:r>
      <w:r>
        <w:rPr>
          <w:rFonts w:ascii="仿宋_GB2312" w:hAnsi="仿宋_GB2312" w:eastAsia="仿宋_GB2312"/>
          <w:b w:val="0"/>
          <w:sz w:val="32"/>
        </w:rPr>
        <w:t>其中：基本支出1,608.99万元，占80.40%；项目支出392.16万元，占19.60%；上缴上级支出0.00万元，占0.00%；经营支出0.00万元，占0.00%；对附属单位补助支出0.00万元，占0.00%。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2025年度财政拨款收入总计1,939.18万元，</w:t>
      </w:r>
      <w:r>
        <w:rPr>
          <w:rFonts w:ascii="仿宋_GB2312" w:hAnsi="仿宋_GB2312" w:eastAsia="仿宋_GB2312"/>
          <w:b w:val="0"/>
          <w:sz w:val="32"/>
        </w:rPr>
        <w:t>其中：年初财政拨款结转和结余0.00万元，本年财政拨款收入1,939.18万元。</w:t>
      </w:r>
      <w:r>
        <w:rPr>
          <w:rFonts w:ascii="仿宋_GB2312" w:hAnsi="仿宋_GB2312" w:eastAsia="仿宋_GB2312"/>
          <w:b/>
          <w:sz w:val="32"/>
        </w:rPr>
        <w:t>财政拨款支出总计1,939.18万元，</w:t>
      </w:r>
      <w:r>
        <w:rPr>
          <w:rFonts w:ascii="仿宋_GB2312" w:hAnsi="仿宋_GB2312" w:eastAsia="仿宋_GB2312"/>
          <w:b w:val="0"/>
          <w:sz w:val="32"/>
        </w:rPr>
        <w:t>其中：年末财政拨款结转和结余0.00万元，本年财政拨款支出1,939.18万元。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增加140.55万元，增长7.81%，主要原因是：本年在职人员工资调增，导致相关人员经费较上年有所增加。新增死亡人员，死亡抚恤金支出增加。</w:t>
      </w:r>
      <w:r>
        <w:rPr>
          <w:rFonts w:ascii="仿宋_GB2312" w:hAnsi="仿宋_GB2312" w:eastAsia="仿宋_GB2312"/>
          <w:b/>
          <w:sz w:val="32"/>
        </w:rPr>
        <w:t>与年初预算相比，</w:t>
      </w:r>
      <w:r>
        <w:rPr>
          <w:rFonts w:ascii="仿宋_GB2312" w:hAnsi="仿宋_GB2312" w:eastAsia="仿宋_GB2312"/>
          <w:b w:val="0"/>
          <w:sz w:val="32"/>
        </w:rPr>
        <w:t>年初预算数1,547.58万元，决算数1,939.18万元，预决算差异率25.30%，主要原因是：年中追加人员工资、社保、公积金基数调增部分资金，追加自治区基层人大补助经费，导致预决算存在差异。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关运行、人大代表立法监督活动、人民代表大会议经费等重点支出，体现在有关支出科目中。</w:t>
      </w:r>
    </w:p>
    <w:p>
      <w:pPr>
        <w:spacing w:line="580" w:lineRule="exact"/>
        <w:ind w:firstLine="640"/>
        <w:jc w:val="both"/>
      </w:pPr>
      <w:r>
        <w:rPr>
          <w:rFonts w:ascii="仿宋_GB2312" w:hAnsi="仿宋_GB2312" w:eastAsia="仿宋_GB2312"/>
          <w:b w:val="0"/>
          <w:sz w:val="32"/>
        </w:rPr>
        <w:t>按照支出功能分类，一般公共服务支出（类）人大事务（款）行政运行（项）的支出占本年财政拨款支出总额的比重最高，2025年度决算数为953.29万元，占比49.16%，主要用于人员工资福利支出、日常公用经费。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2025年度一般公共预算财政拨款支出1,939.18万元，</w:t>
      </w:r>
      <w:r>
        <w:rPr>
          <w:rFonts w:ascii="仿宋_GB2312" w:hAnsi="仿宋_GB2312" w:eastAsia="仿宋_GB2312"/>
          <w:b w:val="0"/>
          <w:sz w:val="32"/>
        </w:rPr>
        <w:t>占本年支出合计的96.90%。</w:t>
      </w:r>
      <w:r>
        <w:rPr>
          <w:rFonts w:ascii="仿宋_GB2312" w:hAnsi="仿宋_GB2312" w:eastAsia="仿宋_GB2312"/>
          <w:b/>
          <w:sz w:val="32"/>
        </w:rPr>
        <w:t>与上年相比，</w:t>
      </w:r>
      <w:r>
        <w:rPr>
          <w:rFonts w:ascii="仿宋_GB2312" w:hAnsi="仿宋_GB2312" w:eastAsia="仿宋_GB2312"/>
          <w:b w:val="0"/>
          <w:sz w:val="32"/>
        </w:rPr>
        <w:t>增加140.55万元，增长7.81%，主要原因是：本年在职人员工资调增，导致相关人员经费较上年有所增加。新增死亡人员，死亡抚恤金支出增加。</w:t>
      </w:r>
      <w:r>
        <w:rPr>
          <w:rFonts w:ascii="仿宋_GB2312" w:hAnsi="仿宋_GB2312" w:eastAsia="仿宋_GB2312"/>
          <w:b/>
          <w:sz w:val="32"/>
        </w:rPr>
        <w:t>与年初预算相比，</w:t>
      </w:r>
      <w:r>
        <w:rPr>
          <w:rFonts w:ascii="仿宋_GB2312" w:hAnsi="仿宋_GB2312" w:eastAsia="仿宋_GB2312"/>
          <w:b w:val="0"/>
          <w:sz w:val="32"/>
        </w:rPr>
        <w:t>年初预算数1,547.58万元，决算数1,939.18万元，预决算差异率25.30%，主要原因是：年中追加人员工资、社保、公积金基数调增部分资金，追加自治区基层人大补助经费，导致预决算存在差异。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1.一般公共服务支出（类）1,460.77万元，占75.33%。</w:t>
      </w:r>
    </w:p>
    <w:p>
      <w:pPr>
        <w:spacing w:line="580" w:lineRule="exact"/>
        <w:ind w:firstLine="640"/>
        <w:jc w:val="both"/>
      </w:pPr>
      <w:r>
        <w:rPr>
          <w:rFonts w:ascii="仿宋_GB2312" w:hAnsi="仿宋_GB2312" w:eastAsia="仿宋_GB2312"/>
          <w:b w:val="0"/>
          <w:sz w:val="32"/>
        </w:rPr>
        <w:t>2.社会保障和就业支出（类）295.38万元，占15.23%。</w:t>
      </w:r>
    </w:p>
    <w:p>
      <w:pPr>
        <w:spacing w:line="580" w:lineRule="exact"/>
        <w:ind w:firstLine="640"/>
        <w:jc w:val="both"/>
      </w:pPr>
      <w:r>
        <w:rPr>
          <w:rFonts w:ascii="仿宋_GB2312" w:hAnsi="仿宋_GB2312" w:eastAsia="仿宋_GB2312"/>
          <w:b w:val="0"/>
          <w:sz w:val="32"/>
        </w:rPr>
        <w:t>3.卫生健康支出（类）96.14万元，占4.96%。</w:t>
      </w:r>
    </w:p>
    <w:p>
      <w:pPr>
        <w:spacing w:line="580" w:lineRule="exact"/>
        <w:ind w:firstLine="640"/>
        <w:jc w:val="both"/>
      </w:pPr>
      <w:r>
        <w:rPr>
          <w:rFonts w:ascii="仿宋_GB2312" w:hAnsi="仿宋_GB2312" w:eastAsia="仿宋_GB2312"/>
          <w:b w:val="0"/>
          <w:sz w:val="32"/>
        </w:rPr>
        <w:t>4.住房保障支出（类）86.89万元，占4.48%。</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人大事务（款）行政运行（项）：支出决算数为953.29万元，比上年决算增加160.77万元，增长20.29%，主要原因是：本年在职人员工资调增，导致相关人员经费较上年有所增加。新增死亡人员，死亡抚恤金支出增加。</w:t>
      </w:r>
    </w:p>
    <w:p>
      <w:pPr>
        <w:spacing w:line="580" w:lineRule="exact"/>
        <w:ind w:firstLine="640"/>
        <w:jc w:val="both"/>
      </w:pPr>
      <w:r>
        <w:rPr>
          <w:rFonts w:ascii="仿宋_GB2312" w:hAnsi="仿宋_GB2312" w:eastAsia="仿宋_GB2312"/>
          <w:b w:val="0"/>
          <w:sz w:val="32"/>
        </w:rPr>
        <w:t>2.一般公共服务支出（类）人大事务（款）一般行政管理事务（项）：支出决算数为92.18万元，比上年决算减少47.19万元，下降33.86%，主要原因是：本年减少基层人大补助经费、港澳·投资新疆经贸文化交流活动经费、租赁车辆费用等，导致经费支出减少。</w:t>
      </w:r>
    </w:p>
    <w:p>
      <w:pPr>
        <w:spacing w:line="580" w:lineRule="exact"/>
        <w:ind w:firstLine="640"/>
        <w:jc w:val="both"/>
      </w:pPr>
      <w:r>
        <w:rPr>
          <w:rFonts w:ascii="仿宋_GB2312" w:hAnsi="仿宋_GB2312" w:eastAsia="仿宋_GB2312"/>
          <w:b w:val="0"/>
          <w:sz w:val="32"/>
        </w:rPr>
        <w:t>3.一般公共服务支出（类）人大事务（款）人大会议（项）：支出决算数为117.31万元，比上年决算减少4.56万元，下降3.74%，主要原因是：严格执行中央八项规定，节约办会，控制会议费用，减少会议费用支出。</w:t>
      </w:r>
    </w:p>
    <w:p>
      <w:pPr>
        <w:spacing w:line="580" w:lineRule="exact"/>
        <w:ind w:firstLine="640"/>
        <w:jc w:val="both"/>
      </w:pPr>
      <w:r>
        <w:rPr>
          <w:rFonts w:ascii="仿宋_GB2312" w:hAnsi="仿宋_GB2312" w:eastAsia="仿宋_GB2312"/>
          <w:b w:val="0"/>
          <w:sz w:val="32"/>
        </w:rPr>
        <w:t>4.一般公共服务支出（类）人大事务（款）人大监督（项）：支出决算数为40.49万元，比上年决算减少33.85万元，下降45.53%，主要原因是：本年减少人大立法监督信访活动经费，导致经费支出减少。</w:t>
      </w:r>
    </w:p>
    <w:p>
      <w:pPr>
        <w:spacing w:line="580" w:lineRule="exact"/>
        <w:ind w:firstLine="640"/>
        <w:jc w:val="both"/>
      </w:pPr>
      <w:r>
        <w:rPr>
          <w:rFonts w:ascii="仿宋_GB2312" w:hAnsi="仿宋_GB2312" w:eastAsia="仿宋_GB2312"/>
          <w:b w:val="0"/>
          <w:sz w:val="32"/>
        </w:rPr>
        <w:t>5.一般公共服务支出（类）人大事务（款）代表工作（项）：支出决算数为66.71万元，比上年决算减少29.26万元，下降30.49%，主要原因是：本年减少代表活动差旅经费，导致经费支出减少。</w:t>
      </w:r>
    </w:p>
    <w:p>
      <w:pPr>
        <w:spacing w:line="580" w:lineRule="exact"/>
        <w:ind w:firstLine="640"/>
        <w:jc w:val="both"/>
      </w:pPr>
      <w:r>
        <w:rPr>
          <w:rFonts w:ascii="仿宋_GB2312" w:hAnsi="仿宋_GB2312" w:eastAsia="仿宋_GB2312"/>
          <w:b w:val="0"/>
          <w:sz w:val="32"/>
        </w:rPr>
        <w:t>6.一般公共服务支出（类）人大事务（款）事业运行（项）：支出决算数为177.29万元，比上年决算增加31.99万元，增长22.02%，主要原因是：本年在职人员工资调增，导致相关人员经费较上年有所增加。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7.一般公共服务支出（类）人大事务（款）其他人大事务支出（项）：支出决算数为13.51万元，比上年决算减少12.97万元，下降48.98%，主要原因是：根据州组织部门培训计划，本年培训人数及培训天数均减少，导致经费支出减少。</w:t>
      </w:r>
    </w:p>
    <w:p>
      <w:pPr>
        <w:spacing w:line="580" w:lineRule="exact"/>
        <w:ind w:firstLine="640"/>
        <w:jc w:val="both"/>
      </w:pPr>
      <w:r>
        <w:rPr>
          <w:rFonts w:ascii="仿宋_GB2312" w:hAnsi="仿宋_GB2312" w:eastAsia="仿宋_GB2312"/>
          <w:b w:val="0"/>
          <w:sz w:val="32"/>
        </w:rPr>
        <w:t>8.社会保障和就业支出（类）行政事业单位养老支出（款）行政单位离退休（项）：支出决算数为85.76万元，比上年决算增加34.11万元，增长66.04%，主要原因是：本年增加退休人员基础绩效奖，退休费支出增加。</w:t>
      </w:r>
    </w:p>
    <w:p>
      <w:pPr>
        <w:spacing w:line="580" w:lineRule="exact"/>
        <w:ind w:firstLine="640"/>
        <w:jc w:val="both"/>
      </w:pPr>
      <w:r>
        <w:rPr>
          <w:rFonts w:ascii="仿宋_GB2312" w:hAnsi="仿宋_GB2312" w:eastAsia="仿宋_GB2312"/>
          <w:b w:val="0"/>
          <w:sz w:val="32"/>
        </w:rPr>
        <w:t>9.社会保障和就业支出（类）行政事业单位养老支出（款）机关事业单位基本养老保险缴费支出（项）：支出决算数为109.82万元，比上年决算增加5.01万元，增长4.78%，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10.社会保障和就业支出（类）行政事业单位养老支出（款）机关事业单位职业年金缴费支出（项）：支出决算数为99.79万元，比上年决算增加2.91万元，增长3.00%，主要原因是：本年新增退休人员，职业年金缴费支出增加。</w:t>
      </w:r>
    </w:p>
    <w:p>
      <w:pPr>
        <w:spacing w:line="580" w:lineRule="exact"/>
        <w:ind w:firstLine="640"/>
        <w:jc w:val="both"/>
      </w:pPr>
      <w:r>
        <w:rPr>
          <w:rFonts w:ascii="仿宋_GB2312" w:hAnsi="仿宋_GB2312" w:eastAsia="仿宋_GB2312"/>
          <w:b w:val="0"/>
          <w:sz w:val="32"/>
        </w:rPr>
        <w:t>11.卫生健康支出（类）行政事业单位医疗（款）行政单位医疗（项）：支出决算数为54.65万元，比上年决算增加7.71万元，增长16.43%，主要原因是：本年在职人员工资基数调增，医疗缴费基数上涨，相应支出增加。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12.卫生健康支出（类）行政事业单位医疗（款）事业单位医疗（项）：支出决算数为13.29万元，比上年决算增加2.41万元，增长22.15%，主要原因是：本年在职人员工资基数调增，医疗缴费基数上涨，相应支出增加。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13.卫生健康支出（类）行政事业单位医疗（款）公务员医疗补助（项）：支出决算数为27.46万元，比上年决算增加23.89万元，增长669.19%，主要原因是：本年在职人员工资基数调增，公务员医疗补助缴费基数上涨，相应支出增加。</w:t>
      </w:r>
    </w:p>
    <w:p>
      <w:pPr>
        <w:spacing w:line="580" w:lineRule="exact"/>
        <w:ind w:firstLine="640"/>
        <w:jc w:val="both"/>
      </w:pPr>
      <w:r>
        <w:rPr>
          <w:rFonts w:ascii="仿宋_GB2312" w:hAnsi="仿宋_GB2312" w:eastAsia="仿宋_GB2312"/>
          <w:b w:val="0"/>
          <w:sz w:val="32"/>
        </w:rPr>
        <w:t>14.卫生健康支出（类）行政事业单位医疗（款）其他行政事业单位医疗支出（项）：支出决算数为0.74万元，比上年决算增加0.45万元，增长155.17%，主要原因是：本年在职人员工资基数调增，大病医疗缴费基数上涨，相应支出增加。</w:t>
      </w:r>
    </w:p>
    <w:p>
      <w:pPr>
        <w:spacing w:line="580" w:lineRule="exact"/>
        <w:ind w:firstLine="640"/>
        <w:jc w:val="both"/>
      </w:pPr>
      <w:r>
        <w:rPr>
          <w:rFonts w:ascii="仿宋_GB2312" w:hAnsi="仿宋_GB2312" w:eastAsia="仿宋_GB2312"/>
          <w:b w:val="0"/>
          <w:sz w:val="32"/>
        </w:rPr>
        <w:t>15.住房保障支出（类）住房改革支出（款）住房公积金（项）：支出决算数为86.89万元，比上年决算减少0.86万元，下降0.98%，主要原因是：本年在职人员减少，住房公积金缴费较上年减少。</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2025年度一般公共预算财政拨款基本支出1,608.99万元，其中：</w:t>
      </w:r>
      <w:r>
        <w:rPr>
          <w:rFonts w:ascii="仿宋_GB2312" w:hAnsi="仿宋_GB2312" w:eastAsia="仿宋_GB2312"/>
          <w:b/>
          <w:sz w:val="32"/>
        </w:rPr>
        <w:t>人员经费1,469.61万元，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pPr>
        <w:spacing w:line="580" w:lineRule="exact"/>
        <w:ind w:firstLine="640"/>
        <w:jc w:val="both"/>
      </w:pPr>
      <w:r>
        <w:rPr>
          <w:rFonts w:ascii="仿宋_GB2312" w:hAnsi="仿宋_GB2312" w:eastAsia="仿宋_GB2312"/>
          <w:b/>
          <w:sz w:val="32"/>
        </w:rPr>
        <w:t>公用经费139.38万元，</w:t>
      </w:r>
      <w:r>
        <w:rPr>
          <w:rFonts w:ascii="仿宋_GB2312" w:hAnsi="仿宋_GB2312" w:eastAsia="仿宋_GB2312"/>
          <w:b w:val="0"/>
          <w:sz w:val="32"/>
        </w:rPr>
        <w:t>包括：办公费、印刷费、水费、电费、邮电费、取暖费、物业管理费、差旅费、维修（护）费、公务接待费、工会经费、福利费、公务用车运行维护费、其他交通费用、其他商品和服务支出。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2025年度财政拨款“三公”经费支出52.03万元，</w:t>
      </w:r>
      <w:r>
        <w:rPr>
          <w:rFonts w:ascii="仿宋_GB2312" w:hAnsi="仿宋_GB2312" w:eastAsia="仿宋_GB2312"/>
          <w:b w:val="0"/>
          <w:sz w:val="32"/>
        </w:rPr>
        <w:t>比上年减少4.72万元，下降8.32%，主要原因是：严格落实中央八项规定精神，厉行节约，降低公务用车运行维护费。严格落实中央八项规定精神，采取有效措施加强公务接待管理，严格控制公务接待活动，认真执行经费开支标准，降低公务接待运行成本费用。</w:t>
      </w:r>
      <w:r>
        <w:rPr>
          <w:rFonts w:ascii="仿宋_GB2312" w:hAnsi="仿宋_GB2312" w:eastAsia="仿宋_GB2312"/>
          <w:b w:val="0"/>
          <w:sz w:val="32"/>
        </w:rPr>
        <w:t>其中：因公出国（境）费用支出0.00万元，占0.00%，比上年减少1.42万元，下降100.00%，主要原因是：本年严格执行中央八项规定，厉行节约，未安排因公出国（境）费用支出。</w:t>
      </w:r>
      <w:r>
        <w:rPr>
          <w:rFonts w:ascii="仿宋_GB2312" w:hAnsi="仿宋_GB2312" w:eastAsia="仿宋_GB2312"/>
          <w:b w:val="0"/>
          <w:sz w:val="32"/>
        </w:rPr>
        <w:t>公务用车购置及运行维护费支出51.39万元，占98.77%，比上年减少3.11万元，下降5.71%，主要原因是：严格落实中央八项规定精神，厉行节约，降低公务用车运行维护费。</w:t>
      </w:r>
      <w:r>
        <w:rPr>
          <w:rFonts w:ascii="仿宋_GB2312" w:hAnsi="仿宋_GB2312" w:eastAsia="仿宋_GB2312"/>
          <w:b w:val="0"/>
          <w:sz w:val="32"/>
        </w:rPr>
        <w:t>公务接待费支出0.64万元，占1.23%，比上年减少0.19万元，下降22.89%，主要原因是：严格落实中央八项规定精神，厉行节约，降低公务接待费。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51.39万元，其中：公务用车购置费0.00万元，公务用车运行维护费51.39万元。公务用车运行维护费开支内容包括车辆加油费、维修费、保险费、审车费、过路费等。公务用车购置数0辆，公务用车保有量8辆。国有资产占用情况中固定资产车辆8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公务接待费0.64万元，开支内容包括因工作调研任务，接待来自本州、外地州及疆外单位人员产生的就餐费。单位全年安排的国内公务接待6批次，35人次。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52.03万元，决算数52.03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51.39万元，决算数51.39万元，预决算差异率0.00%，主要原因是：严格按照预算执行，预决算无差异。公务接待费全年预算数0.64万元，决算数0.64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2025年度昌吉回族自治州人民代表大会常务委员会（行政单位和参照公务员法管理事业单位）机关运行经费支出139.38万元，比上年增加17.78万元，增长14.62%，主要原因是：本年增加办公费，导致公用经费支出增加。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2025年度政府采购支出总额281.71万元，其中：政府采购货物支出51.04万元、政府采购工程支出0.00万元、政府采购服务支出230.67万元。</w:t>
      </w:r>
    </w:p>
    <w:p>
      <w:pPr>
        <w:spacing w:line="580" w:lineRule="exact"/>
        <w:ind w:firstLine="640"/>
        <w:jc w:val="both"/>
      </w:pPr>
      <w:r>
        <w:rPr>
          <w:rFonts w:ascii="仿宋_GB2312" w:hAnsi="仿宋_GB2312" w:eastAsia="仿宋_GB2312"/>
          <w:b w:val="0"/>
          <w:sz w:val="32"/>
        </w:rPr>
        <w:t>授予中小企业合同金额281.71万元，占政府采购支出总额的100.00%，其中：授予小微企业合同金额281.71万元，占政府采购支出总额的100.00%。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8辆，价值174.46万元，其中：副部（省）级及以上领导用车0辆、主要负责人用车0辆、机要通信用车0辆、应急保障用车0辆、执法执勤用车0辆、特种专业技术用车0辆、离退休干部服务用车0辆、其他用车8辆，其他用车主要是：一般公务用车。单价100万元（含）以上设备（不含车辆）1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2,058.65万元，实际执行总额2,001.15万元；预算绩效评价项目4个，全年预算数392.16万元，全年执行数392.16万元。预算绩效管理取得的成效：一是建立健全了预算管理规章制度，各部门严格按预算编制的原则和要求做好当年预算编制工作；二是在预算绩效管理工作中，做到合理安排各项资金，重点保障基本支出，按轻重缓急顺序原则，优先安排了州人大常委会机关事业发展中关系民生与稳定的项目，切实优化资源配置，提高了资金使用的效率和效果。发现的问题及原因：一是项目绩效工作专业性强，人员业务素质有待提高。二是设置绩效指标应具有可量化性。下一步改进措施：一是各部门严格按预算编制的原则和要求做好当年预算编制工作，在预算绩效管理工作中，做到合理安排各项资金，重点保障基本支出，切实优化资源配置，提高了资金使用的效率和效果；二是加强预算资金及资产管理，提高财政资金使用效益。加强财务管理和内部控制监督；三是加强项目绩效业务知识学习，真正了解项目绩效工作实质，准确填报相关信息。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昌吉回族自治州人民代表大会常务委员会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1,544.18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1,925.67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1,925.67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35.37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119.47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1,579.55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2,058.65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2,001.15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9.72</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人大工作的大局、中心工作就是贯彻落实以习近平同志为核心的党中央治疆方略，实现社会稳定和长治久安总目标，坚定坚决地把自治州党委聚焦总目标。人大工作是党和国家工作的重要组成部分。自治州人大常委会机关及其常委会作为地方国家权力机关，承担着立法、监督、决定、任免等重要职责。要坚持党的领导、人民当家作主、依法治国有机统一，认真落实以习近平同志为核心的党中央决策部署、自治州党委工作安排，讲政治、顾大局、勇担当、善作为，充分发挥人大在实现社会稳定和长治久安总目标中的职能和功效。以新思想引领新时代地方立法工作，进一步加强党对立法工作的领导，充分发挥人大在立法中的主导作用，深入推进科学立法、民主立法、依法立法，贯彻落实自治州五年立法规划，加强重点领域立法，健全规范性文件备案审查工作机制，指导和协调新赋立法权的县市立法工作，探讨、交流新形势下地方立法工作的新任务、新要求和新举措，研究和部署当前和今后五年的地方立法工作，不断提升自治州地方立法工作上一个新台阶。</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2001.15万元，全年执行数为2001.154万元，总预算执行率为1002%。2025年我单位完成以下工作内容：1.修定条例1部；2.制定条例4部；3.支持和保障人大代表履职，开展代表培训3期；4.开展代表三察（查）活动4次；5.开展各类执法检查5次；6.召开自治州第十六届人民代表大会第五次会议1次；7.召开人大常委会会议8次。通过以上工作的实施，人大代表履职能力持续提高，人大常委会机关积极发挥综合协调、执法监督、组织实施、运行保障等作用，确保工作有序有效开展。以习近平新时代中国特色社会主义思想为指导，围绕党的二十大绘制的宏伟蓝图、确立的奋斗目标和作出的战略部署，把握新时代新征程党的中心任务，紧紧围绕完整准确贯彻新时代党的治疆方略，贯彻区、州党委全会精神，聚焦经济社会发展重大问题和涉及群众切身得益的实际问题，强化监督助推落实，坚持发扬民主和增进团结相互贯通、建言资政和凝聚共识双向发力，不断提高人民监督、民主监督、依法行政，更好凝聚共识，为以中国式现代化全面推进中华民族伟大复兴贡献人大代表的智慧和力量。所有项目均按时间，按计划完成。</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召开人代会次数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州人大常委会2025年总体工作安排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制定条例数量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州人大常委会2025年总体工作安排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修定条例数量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州人大常委会2025年总体工作安排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开展人大代表培训次数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州人大常委会2025年总体工作安排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组织代表三察（查）活动次数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州人大常委会2025年总体工作安排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召开常委会会议次数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州人大常委会2025年总体工作安排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开展各类执法检查次数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州人大常委会2025年总体工作安排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2025年基层人大补助经费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昌吉回族自治州人民代表大会常务委员会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以充足的经费保障人大各项工作顺利、高效开展，发挥基层人大在立法、监督检查中的作用，推动地方经济社会持续健康发展，促进基层民主政治建设不断进步。使人大立法、人大监督职能得到实施，围绕党委的中心工作开展调研、视察工作，为州党委的决策提供依据。文件印刷次数4次；印刷验收合格率达到100%；本项目的开展保证办公正常运转，提升人大常委会机关服能力务代表的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13.51万元，资金执行率100%，本项目实际完成文件印刷次数4次，印刷验收合格率达到100%，印刷成本5万元；宣传制作成本8.51万元，通过本项目的实施以充足的经费保障人大各项工作顺利、高效开展，发挥基层人大在立法、监督检查中的作用，推动地方经济社会持续健康发展，促进基层民主政治建设不断进步。使人大立法、人大监督职能得到实施，围绕党委的中心工作开展调研、视察工作，为州党委的决策提供依据，提升人大常委会机关服能力务代表的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文件印刷次数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其他商品和服务支出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提升人大常委会机关服能力务代表的能力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0.00%，偏差原因为：年初设定的年度指标值相对保守，导致实际执行口很容易达到无偏差的状态。下一年度改进措施：优化预算绩效指标设置，引入服务对象满意度等更高质量指标，以更精准衡量服务能力的提升幅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-1.84%，偏差原因为：经费投入精准保障了办公人员的实际需求，在后勤服务、工作环境优化等方面取得显著成效，获得一致认可，导致满意度超出预期；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人大代表立法监督活动经费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昌吉回族自治州人民代表大会常务委员会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召开常委会会议6次、开展执法检查6次、常委会会议出勤率70%以上、召开常委会会议完成时间2025年12月30日、常委会会议经费小于11.83万元、代表活动监督立法工作经费小于42.07万元以立法保善治，以立法保善治，以监督促工作，参会人员满意度过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53.9万元，资金执行率100%，本项目实际完成召开常委会会议6次、开展执法检查6次、常委会会议出勤率70%以上、通过本项目的实施有效保障了常委会依法履职和执法监督工作的开展。通过高频次的监督活动，不仅提升了地方立法监督的实效性，更有力推动了相关法律法规的贯彻实施，实现了政治效益、社会效益与资金效益的统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召开常委会会议次数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开展执法检查次数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常委会会议出勤率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11.43%，偏差原因为：常委会委员请假人数少，参会率较高；下一年度改进措施：总结本次项目的成功经验，在编制下一年度绩效目标时，结合实际执行能力，将出勤率目标值适当上调，以此持续提升参会人员出勤。。</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召开常委会会议完成时间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2025年12月23日前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常委会会议经费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代表活动监督立法工作经费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保障党和国家重大决策的科学性和可行性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参会人员满意度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101.58%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1.58%，偏差原因为：参会人员对会议服务、食宿安排满意度较高；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州人大十六届人民代表大会第五次会议经费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昌吉回族自治州人民代表大会常务委员会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105.48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105.48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105.48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召开自治州人民代表大会第五次会议一次，参会代表人数324人；参会代表出勤率达到95%以上；项目与2025年4月30日完成；通过项目的实施，提升民主决策水平、政府治理能力、监督与机制强化、法治建设水平、法治意识增强，促进经济发展，产业规划与布局优化、投资环境改善、社会治理创新、文化事业繁荣、公民素质提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105.48万元，资金执行率100%，本项目已完成召开自治州人民代表大会第五次会议一次，参会代表人数324人；参会代表出勤率达到95%以上；通过项目的实施，提升民主决策水平、政府治理能力、监督与机制强化、法治建设水平、法治意识增强，促进经济发展，产业规划与布局优化、投资环境改善、社会治理创新、文化事业繁荣、公民素质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参会代表人数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=324人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346人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参会代表出勤率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14.21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项目已完成，偏差率为5.26%，偏差原因分析：年初根据上完出勤率设备本年代表出勤率，本年人大代表出勤率为100%，故产生偏差。偏差改进描述：在设置指标值前考虑多种因素，精准设置指标值。</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2025年4月30日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2024年6月30日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会议成本费用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&lt;=63.24万元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64.93万元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&lt;=42.24万元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=42.24万元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40.91万元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监督政府工作，依法行政、公正司法，提升社会治理效率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参会人员满意度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101.58%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项目已完成，偏差率为1.58%，偏差原因分析：年初满意度指标设置较为保守，本年实际完成值高于目标值，故产生偏差。偏差改进描述：在设置指标值前考虑多种因素，精准设置指标值。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中共昌吉回族自治州委员会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昌吉回族自治州人民代表大会常务委员会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243.97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219.27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219.27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157.30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常委会履行法定职权，保障人大代表民主权利。提升服务社会能力；长期保障工作平稳进行。完成院内绿化服务、组织各类执法检查调研、代表视察、代表培训活动、保障办公人员数量48人；办公用品验收合格率100%；经费支付及时率100%；差旅费用小于87.32万元；物业管理费用小于8万元；其他办公经费小于93.12万元；培训费小于30.83万元；保障单位运转正常，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219.27万元，资金执行率100%，本项目已完成保障办公人员数量48人；办公用品验收合格率100%；经费支付及时率100%；通过项目实施有效保障基层治理体系的稳定运行，提升了公共服务的响应效率有服务质量的优化，，树立了节约高效的政府形象，为人大代表履职和常委会依法行使职权提供了坚实的物质基础，对维护地方社会稳定、提升公共服务水平发挥了基础性作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&gt;=48人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&lt;=87.32万元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其他办公经费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&lt;=93.12万元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=30.83万元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