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昌吉回族自治州人力资源和社会保障局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（一）贯彻执行国家、自治区人力资源和社会保障事业发展规划、政策；拟订人力资源和社会保障相关措施并组织实施和监督检查。</w:t>
      </w:r>
    </w:p>
    <w:p>
      <w:pPr>
        <w:spacing w:line="580" w:lineRule="exact"/>
        <w:ind w:firstLine="640"/>
        <w:jc w:val="both"/>
      </w:pPr>
      <w:r>
        <w:rPr>
          <w:rFonts w:ascii="仿宋_GB2312" w:hAnsi="仿宋_GB2312" w:eastAsia="仿宋_GB2312"/>
          <w:sz w:val="32"/>
        </w:rPr>
        <w:t>（二）拟订并组织实施全州人力资源市场发展规划，组织落实人力资源流动政策，指导监督人力资源服务机构，建立全州统一规范的人力资源市场，促进人力资源合理流动、有效配置。</w:t>
      </w:r>
    </w:p>
    <w:p>
      <w:pPr>
        <w:spacing w:line="580" w:lineRule="exact"/>
        <w:ind w:firstLine="640"/>
        <w:jc w:val="both"/>
      </w:pPr>
      <w:r>
        <w:rPr>
          <w:rFonts w:ascii="仿宋_GB2312" w:hAnsi="仿宋_GB2312" w:eastAsia="仿宋_GB2312"/>
          <w:sz w:val="32"/>
        </w:rPr>
        <w:t>（三）负责促进就业和创业工作。拟订统筹城乡就业和创业发展规划，组织实施城乡就业政策，完善公共就业和创业服务体系；组织落实就业援助制度、职业资格制度相关政策，统筹建立面向城乡劳动者的职业技能培训制度；组织落实高校毕业生就业政策，会同有关部门组织落实高技能人才、农村实用人才培养和激励政策。</w:t>
      </w:r>
    </w:p>
    <w:p>
      <w:pPr>
        <w:spacing w:line="580" w:lineRule="exact"/>
        <w:ind w:firstLine="640"/>
        <w:jc w:val="both"/>
      </w:pPr>
      <w:r>
        <w:rPr>
          <w:rFonts w:ascii="仿宋_GB2312" w:hAnsi="仿宋_GB2312" w:eastAsia="仿宋_GB2312"/>
          <w:sz w:val="32"/>
        </w:rPr>
        <w:t>（四）统筹建立覆盖城乡的社会保障体系。组织实施城乡社会保险及其补充保险政策和标准；统筹实施机关企事业单位基本养老保险政策；会同有关部门拟订社会保险及其补充保险基金管理和监督办法，审核全州社会保险基金预决算草案；拟订全州社会保险基金保值增值方案。</w:t>
      </w:r>
    </w:p>
    <w:p>
      <w:pPr>
        <w:spacing w:line="580" w:lineRule="exact"/>
        <w:ind w:firstLine="640"/>
        <w:jc w:val="both"/>
      </w:pPr>
      <w:r>
        <w:rPr>
          <w:rFonts w:ascii="仿宋_GB2312" w:hAnsi="仿宋_GB2312" w:eastAsia="仿宋_GB2312"/>
          <w:sz w:val="32"/>
        </w:rPr>
        <w:t>（五）负责就业、失业、社会保险基金预测预警和信息引导；拟订应对预案，实施预防、调节和控制，保持就业形势稳定和社会保险基金总体收支平衡。</w:t>
      </w:r>
    </w:p>
    <w:p>
      <w:pPr>
        <w:spacing w:line="580" w:lineRule="exact"/>
        <w:ind w:firstLine="640"/>
        <w:jc w:val="both"/>
      </w:pPr>
      <w:r>
        <w:rPr>
          <w:rFonts w:ascii="仿宋_GB2312" w:hAnsi="仿宋_GB2312" w:eastAsia="仿宋_GB2312"/>
          <w:sz w:val="32"/>
        </w:rPr>
        <w:t>（六）会同有关部门落实企事业单位人员工资收入分配制度改革实施意见，落实国家、自治区企事业单位人员工资正常增长和支付保障政策；组织落实企事业单位人员福利和离退休政策；参与州级企业劳动模范评定工作。</w:t>
      </w:r>
    </w:p>
    <w:p>
      <w:pPr>
        <w:spacing w:line="580" w:lineRule="exact"/>
        <w:ind w:firstLine="640"/>
        <w:jc w:val="both"/>
      </w:pPr>
      <w:r>
        <w:rPr>
          <w:rFonts w:ascii="仿宋_GB2312" w:hAnsi="仿宋_GB2312" w:eastAsia="仿宋_GB2312"/>
          <w:sz w:val="32"/>
        </w:rPr>
        <w:t>（七）会同有关部门指导事业单位人事制度改革，组织落实事业单位人员和机关工勤人员管理政策，参与人才开发管理工作，组织落实专业技术人员管理和继续教育政策；牵头推进深化职称制度改革工作；负责全州博士后管理工作；负责全州专业技术人才选拔和培养工作，落实国（境）外专家、留学人员来疆（回疆）工作或定居政策。</w:t>
      </w:r>
    </w:p>
    <w:p>
      <w:pPr>
        <w:spacing w:line="580" w:lineRule="exact"/>
        <w:ind w:firstLine="640"/>
        <w:jc w:val="both"/>
      </w:pPr>
      <w:r>
        <w:rPr>
          <w:rFonts w:ascii="仿宋_GB2312" w:hAnsi="仿宋_GB2312" w:eastAsia="仿宋_GB2312"/>
          <w:sz w:val="32"/>
        </w:rPr>
        <w:t>（八）会同有关部门组织落实国家荣誉制度和政府奖励制度，承担权限内表彰奖励活动。</w:t>
      </w:r>
    </w:p>
    <w:p>
      <w:pPr>
        <w:spacing w:line="580" w:lineRule="exact"/>
        <w:ind w:firstLine="640"/>
        <w:jc w:val="both"/>
      </w:pPr>
      <w:r>
        <w:rPr>
          <w:rFonts w:ascii="仿宋_GB2312" w:hAnsi="仿宋_GB2312" w:eastAsia="仿宋_GB2312"/>
          <w:sz w:val="32"/>
        </w:rPr>
        <w:t>（九）会同有关部门组织落实农民工作综合性政策，拟订农民工作规划，协调解决重点难点问题，维护农民工合法权益。</w:t>
      </w:r>
    </w:p>
    <w:p>
      <w:pPr>
        <w:spacing w:line="580" w:lineRule="exact"/>
        <w:ind w:firstLine="640"/>
        <w:jc w:val="both"/>
      </w:pPr>
      <w:r>
        <w:rPr>
          <w:rFonts w:ascii="仿宋_GB2312" w:hAnsi="仿宋_GB2312" w:eastAsia="仿宋_GB2312"/>
          <w:sz w:val="32"/>
        </w:rPr>
        <w:t>（十）统筹落实劳动、人事争议调解仲裁制度和劳动关系政策，完善劳动关系协调机制；监督落实消除非法使用童工政策和女工、未成年工的特殊劳动保护政策；组织实施劳动监察，协调劳动者维权工作，依法查处重大案件。</w:t>
      </w:r>
    </w:p>
    <w:p>
      <w:pPr>
        <w:spacing w:line="580" w:lineRule="exact"/>
        <w:ind w:firstLine="640"/>
        <w:jc w:val="both"/>
      </w:pPr>
      <w:r>
        <w:rPr>
          <w:rFonts w:ascii="仿宋_GB2312" w:hAnsi="仿宋_GB2312" w:eastAsia="仿宋_GB2312"/>
          <w:sz w:val="32"/>
        </w:rPr>
        <w:t>（十一）受理人力资源和社会保障方面信访事项，拟订信访工作预案；会同有关部门协调处理有关劳动、人事6方面的重大信访事件或突发事件。</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昌吉回族自治州人力资源和社会保障局无下属预算单位。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2025年度收入总计4,009.91万元，</w:t>
      </w:r>
      <w:r>
        <w:rPr>
          <w:rFonts w:ascii="仿宋_GB2312" w:hAnsi="仿宋_GB2312" w:eastAsia="仿宋_GB2312"/>
          <w:b w:val="0"/>
          <w:sz w:val="32"/>
        </w:rPr>
        <w:t>其中：本年收入合计3,845.46万元，使用非财政拨款结余（含专用结余）0.00万元，年初结转和结余164.44万元。</w:t>
      </w:r>
    </w:p>
    <w:p>
      <w:pPr>
        <w:spacing w:line="580" w:lineRule="exact"/>
        <w:ind w:firstLine="640"/>
        <w:jc w:val="both"/>
      </w:pPr>
      <w:r>
        <w:rPr>
          <w:rFonts w:ascii="仿宋_GB2312" w:hAnsi="仿宋_GB2312" w:eastAsia="仿宋_GB2312"/>
          <w:b/>
          <w:sz w:val="32"/>
        </w:rPr>
        <w:t>2025年度支出总计4,009.91万元，</w:t>
      </w:r>
      <w:r>
        <w:rPr>
          <w:rFonts w:ascii="仿宋_GB2312" w:hAnsi="仿宋_GB2312" w:eastAsia="仿宋_GB2312"/>
          <w:b w:val="0"/>
          <w:sz w:val="32"/>
        </w:rPr>
        <w:t>其中：本年支出合计3,941.48万元，结余分配0.00万元，年末结转和结余68.42万元。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减少319.55万元，下降7.38%，主要原因是：本年度机构运行补助项目经费较上年减少。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本年收入3,845.46万元，</w:t>
      </w:r>
      <w:r>
        <w:rPr>
          <w:rFonts w:ascii="仿宋_GB2312" w:hAnsi="仿宋_GB2312" w:eastAsia="仿宋_GB2312"/>
          <w:b w:val="0"/>
          <w:sz w:val="32"/>
        </w:rPr>
        <w:t>其中：财政拨款收入3,695.36万元，占96.10%；上级补助收入0.00万元，占0.00%；事业收入0.00万元，占0.00%；经营收入0.00万元，占0.00%；附属单位上缴收入0.00万元，占0.00%；其他收入150.10万元，占3.90%。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本年支出3,941.48万元，</w:t>
      </w:r>
      <w:r>
        <w:rPr>
          <w:rFonts w:ascii="仿宋_GB2312" w:hAnsi="仿宋_GB2312" w:eastAsia="仿宋_GB2312"/>
          <w:b w:val="0"/>
          <w:sz w:val="32"/>
        </w:rPr>
        <w:t>其中：基本支出1,414.53万元，占35.89%；项目支出2,526.95万元，占64.11%；上缴上级支出0.00万元，占0.00%；经营支出0.00万元，占0.00%；对附属单位补助支出0.00万元，占0.00%。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2025年度财政拨款收入总计3,695.36万元，</w:t>
      </w:r>
      <w:r>
        <w:rPr>
          <w:rFonts w:ascii="仿宋_GB2312" w:hAnsi="仿宋_GB2312" w:eastAsia="仿宋_GB2312"/>
          <w:b w:val="0"/>
          <w:sz w:val="32"/>
        </w:rPr>
        <w:t>其中：年初财政拨款结转和结余0.00万元，本年财政拨款收入3,695.36万元。</w:t>
      </w:r>
      <w:r>
        <w:rPr>
          <w:rFonts w:ascii="仿宋_GB2312" w:hAnsi="仿宋_GB2312" w:eastAsia="仿宋_GB2312"/>
          <w:b/>
          <w:sz w:val="32"/>
        </w:rPr>
        <w:t>财政拨款支出总计3,695.36万元，</w:t>
      </w:r>
      <w:r>
        <w:rPr>
          <w:rFonts w:ascii="仿宋_GB2312" w:hAnsi="仿宋_GB2312" w:eastAsia="仿宋_GB2312"/>
          <w:b w:val="0"/>
          <w:sz w:val="32"/>
        </w:rPr>
        <w:t>其中：年末财政拨款结转和结余0.00万元，本年财政拨款支出3,695.36万元。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增加165.21万元，增长4.68%，主要原因是：本年在职人员工资调增，社保、公积金等人员经费增加。</w:t>
      </w:r>
      <w:r>
        <w:rPr>
          <w:rFonts w:ascii="仿宋_GB2312" w:hAnsi="仿宋_GB2312" w:eastAsia="仿宋_GB2312"/>
          <w:b/>
          <w:sz w:val="32"/>
        </w:rPr>
        <w:t>与年初预算相比，</w:t>
      </w:r>
      <w:r>
        <w:rPr>
          <w:rFonts w:ascii="仿宋_GB2312" w:hAnsi="仿宋_GB2312" w:eastAsia="仿宋_GB2312"/>
          <w:b w:val="0"/>
          <w:sz w:val="32"/>
        </w:rPr>
        <w:t>年初预算数1,733.57万元，决算数3,695.36万元，预决算差异率113.16%，主要原因是：年中追加博士后日常经费及高技能人才培养补助等项目资金，导致预决算产生差异。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等重点支出，体现在有关支出科目中。</w:t>
      </w:r>
    </w:p>
    <w:p>
      <w:pPr>
        <w:spacing w:line="580" w:lineRule="exact"/>
        <w:ind w:firstLine="640"/>
        <w:jc w:val="both"/>
      </w:pPr>
      <w:r>
        <w:rPr>
          <w:rFonts w:ascii="仿宋_GB2312" w:hAnsi="仿宋_GB2312" w:eastAsia="仿宋_GB2312"/>
          <w:b w:val="0"/>
          <w:sz w:val="32"/>
        </w:rPr>
        <w:t>按照支出功能分类，社会保障和就业支出（类）人力资源和社会保障管理事务（款）博士后日常经费（项）的支出占本年财政拨款支出总额的比重最高，2025年度决算数为1,120.00万元，占比30.31%，主要用于博士后日常工作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2025年度一般公共预算财政拨款支出3,695.36万元，</w:t>
      </w:r>
      <w:r>
        <w:rPr>
          <w:rFonts w:ascii="仿宋_GB2312" w:hAnsi="仿宋_GB2312" w:eastAsia="仿宋_GB2312"/>
          <w:b w:val="0"/>
          <w:sz w:val="32"/>
        </w:rPr>
        <w:t>占本年支出合计的93.76%。</w:t>
      </w:r>
      <w:r>
        <w:rPr>
          <w:rFonts w:ascii="仿宋_GB2312" w:hAnsi="仿宋_GB2312" w:eastAsia="仿宋_GB2312"/>
          <w:b/>
          <w:sz w:val="32"/>
        </w:rPr>
        <w:t>与上年相比，</w:t>
      </w:r>
      <w:r>
        <w:rPr>
          <w:rFonts w:ascii="仿宋_GB2312" w:hAnsi="仿宋_GB2312" w:eastAsia="仿宋_GB2312"/>
          <w:b w:val="0"/>
          <w:sz w:val="32"/>
        </w:rPr>
        <w:t>增加165.21万元，增长4.68%，主要原因是：本年在职人员工资调增，社保、公积金等人员经费增加。</w:t>
      </w:r>
      <w:r>
        <w:rPr>
          <w:rFonts w:ascii="仿宋_GB2312" w:hAnsi="仿宋_GB2312" w:eastAsia="仿宋_GB2312"/>
          <w:b/>
          <w:sz w:val="32"/>
        </w:rPr>
        <w:t>与年初预算相比，</w:t>
      </w:r>
      <w:r>
        <w:rPr>
          <w:rFonts w:ascii="仿宋_GB2312" w:hAnsi="仿宋_GB2312" w:eastAsia="仿宋_GB2312"/>
          <w:b w:val="0"/>
          <w:sz w:val="32"/>
        </w:rPr>
        <w:t>年初预算数1,733.57万元，决算数3,695.36万元，预决算差异率113.16%，主要原因是：年中追加博士后日常经费及高技能人才培养补助等项目资金，导致预决算产生差异。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1.社会保障和就业支出（类）3,495.69万元，占94.60%。</w:t>
      </w:r>
    </w:p>
    <w:p>
      <w:pPr>
        <w:spacing w:line="580" w:lineRule="exact"/>
        <w:ind w:firstLine="640"/>
        <w:jc w:val="both"/>
      </w:pPr>
      <w:r>
        <w:rPr>
          <w:rFonts w:ascii="仿宋_GB2312" w:hAnsi="仿宋_GB2312" w:eastAsia="仿宋_GB2312"/>
          <w:b w:val="0"/>
          <w:sz w:val="32"/>
        </w:rPr>
        <w:t>2.卫生健康支出（类）84.75万元，占2.29%。</w:t>
      </w:r>
    </w:p>
    <w:p>
      <w:pPr>
        <w:spacing w:line="580" w:lineRule="exact"/>
        <w:ind w:firstLine="640"/>
        <w:jc w:val="both"/>
      </w:pPr>
      <w:r>
        <w:rPr>
          <w:rFonts w:ascii="仿宋_GB2312" w:hAnsi="仿宋_GB2312" w:eastAsia="仿宋_GB2312"/>
          <w:b w:val="0"/>
          <w:sz w:val="32"/>
        </w:rPr>
        <w:t>3.资源勘探工业信息等支出（类）4.40万元，占0.12%。</w:t>
      </w:r>
    </w:p>
    <w:p>
      <w:pPr>
        <w:spacing w:line="580" w:lineRule="exact"/>
        <w:ind w:firstLine="640"/>
        <w:jc w:val="both"/>
      </w:pPr>
      <w:r>
        <w:rPr>
          <w:rFonts w:ascii="仿宋_GB2312" w:hAnsi="仿宋_GB2312" w:eastAsia="仿宋_GB2312"/>
          <w:b w:val="0"/>
          <w:sz w:val="32"/>
        </w:rPr>
        <w:t>4.住房保障支出（类）92.49万元，占2.50%。</w:t>
      </w:r>
    </w:p>
    <w:p>
      <w:pPr>
        <w:spacing w:line="580" w:lineRule="exact"/>
        <w:ind w:firstLine="640"/>
        <w:jc w:val="both"/>
      </w:pPr>
      <w:r>
        <w:rPr>
          <w:rFonts w:ascii="仿宋_GB2312" w:hAnsi="仿宋_GB2312" w:eastAsia="仿宋_GB2312"/>
          <w:b w:val="0"/>
          <w:sz w:val="32"/>
        </w:rPr>
        <w:t>5.其他支出（类）18.03万元，占0.49%。</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1.社会保障和就业支出（类）人力资源和社会保障管理事务（款）行政运行（项）：支出决算数为1,020.04万元，比上年决算增加51.93万元，增长5.36%，主要原因是：本年在职人员工资调增，人员经费增加。</w:t>
      </w:r>
    </w:p>
    <w:p>
      <w:pPr>
        <w:spacing w:line="580" w:lineRule="exact"/>
        <w:ind w:firstLine="640"/>
        <w:jc w:val="both"/>
      </w:pPr>
      <w:r>
        <w:rPr>
          <w:rFonts w:ascii="仿宋_GB2312" w:hAnsi="仿宋_GB2312" w:eastAsia="仿宋_GB2312"/>
          <w:b w:val="0"/>
          <w:sz w:val="32"/>
        </w:rPr>
        <w:t>2.社会保障和就业支出（类）人力资源和社会保障管理事务（款）一般行政管理事务（项）：支出决算数为312.08万元，比上年决算增加131.96万元，增长73.26%，主要原因是：本年度增加了平台系统维护资金、劳动保障大厦信访接待室补助资金、大学生暑期实习实践活动补助等项目。</w:t>
      </w:r>
    </w:p>
    <w:p>
      <w:pPr>
        <w:spacing w:line="580" w:lineRule="exact"/>
        <w:ind w:firstLine="640"/>
        <w:jc w:val="both"/>
      </w:pPr>
      <w:r>
        <w:rPr>
          <w:rFonts w:ascii="仿宋_GB2312" w:hAnsi="仿宋_GB2312" w:eastAsia="仿宋_GB2312"/>
          <w:b w:val="0"/>
          <w:sz w:val="32"/>
        </w:rPr>
        <w:t>3.社会保障和就业支出（类）人力资源和社会保障管理事务（款）劳动保障监察（项）：支出决算数为0.00万元，比上年决算减少12.00万元，下降100.00%，主要原因是：本年度减少了劳动保障监察工作经费项目。</w:t>
      </w:r>
    </w:p>
    <w:p>
      <w:pPr>
        <w:spacing w:line="580" w:lineRule="exact"/>
        <w:ind w:firstLine="640"/>
        <w:jc w:val="both"/>
      </w:pPr>
      <w:r>
        <w:rPr>
          <w:rFonts w:ascii="仿宋_GB2312" w:hAnsi="仿宋_GB2312" w:eastAsia="仿宋_GB2312"/>
          <w:b w:val="0"/>
          <w:sz w:val="32"/>
        </w:rPr>
        <w:t>4.社会保障和就业支出（类）人力资源和社会保障管理事务（款）社会保险业务管理事务（项）：支出决算数为14.90万元，比上年决算减少3.10万元，下降17.22%，主要原因是：本年度社保基金监督检查审计经费较上年减少。</w:t>
      </w:r>
    </w:p>
    <w:p>
      <w:pPr>
        <w:spacing w:line="580" w:lineRule="exact"/>
        <w:ind w:firstLine="640"/>
        <w:jc w:val="both"/>
      </w:pPr>
      <w:r>
        <w:rPr>
          <w:rFonts w:ascii="仿宋_GB2312" w:hAnsi="仿宋_GB2312" w:eastAsia="仿宋_GB2312"/>
          <w:b w:val="0"/>
          <w:sz w:val="32"/>
        </w:rPr>
        <w:t>5.社会保障和就业支出（类）人力资源和社会保障管理事务（款）劳动人事争议调解仲裁（项）：支出决算数为14.78万元，比上年决算增加4.79万元，增长47.95%，主要原因是：本年度劳动人事争议调解仲裁工作经费项目资金较上年增加。</w:t>
      </w:r>
    </w:p>
    <w:p>
      <w:pPr>
        <w:spacing w:line="580" w:lineRule="exact"/>
        <w:ind w:firstLine="640"/>
        <w:jc w:val="both"/>
      </w:pPr>
      <w:r>
        <w:rPr>
          <w:rFonts w:ascii="仿宋_GB2312" w:hAnsi="仿宋_GB2312" w:eastAsia="仿宋_GB2312"/>
          <w:b w:val="0"/>
          <w:sz w:val="32"/>
        </w:rPr>
        <w:t>6.社会保障和就业支出（类）人力资源和社会保障管理事务（款）博士后日常经费（项）：支出决算数为1,120.00万元，比上年决算减少280.00万元，下降20.00%，主要原因是：本年度博士后日常工作经费项目资金较上年减少。</w:t>
      </w:r>
    </w:p>
    <w:p>
      <w:pPr>
        <w:spacing w:line="580" w:lineRule="exact"/>
        <w:ind w:firstLine="640"/>
        <w:jc w:val="both"/>
      </w:pPr>
      <w:r>
        <w:rPr>
          <w:rFonts w:ascii="仿宋_GB2312" w:hAnsi="仿宋_GB2312" w:eastAsia="仿宋_GB2312"/>
          <w:b w:val="0"/>
          <w:sz w:val="32"/>
        </w:rPr>
        <w:t>7.社会保障和就业支出（类）人力资源和社会保障管理事务（款）其他人力资源和社会保障管理事务支出（项）：支出决算数为602.69万元，比上年决算增加94.57万元，增长18.61%，主要原因是：本年度增加职业能力建设工作补助项目，博峰精英计划及庭州英才项目资金较上年增加。</w:t>
      </w:r>
    </w:p>
    <w:p>
      <w:pPr>
        <w:spacing w:line="580" w:lineRule="exact"/>
        <w:ind w:firstLine="640"/>
        <w:jc w:val="both"/>
      </w:pPr>
      <w:r>
        <w:rPr>
          <w:rFonts w:ascii="仿宋_GB2312" w:hAnsi="仿宋_GB2312" w:eastAsia="仿宋_GB2312"/>
          <w:b w:val="0"/>
          <w:sz w:val="32"/>
        </w:rPr>
        <w:t>8.社会保障和就业支出（类）行政事业单位养老支出（款）行政单位离退休（项）：支出决算数为5.61万元，比上年决算减少30.37万元，下降84.41%，主要原因是：本年度减少退休人员医疗费。</w:t>
      </w:r>
    </w:p>
    <w:p>
      <w:pPr>
        <w:spacing w:line="580" w:lineRule="exact"/>
        <w:ind w:firstLine="640"/>
        <w:jc w:val="both"/>
      </w:pPr>
      <w:r>
        <w:rPr>
          <w:rFonts w:ascii="仿宋_GB2312" w:hAnsi="仿宋_GB2312" w:eastAsia="仿宋_GB2312"/>
          <w:b w:val="0"/>
          <w:sz w:val="32"/>
        </w:rPr>
        <w:t>9.社会保障和就业支出（类）行政事业单位养老支出（款）机关事业单位基本养老保险缴费支出（项）：支出决算数为113.72万元，比上年决算增加7.95万元，增长7.52%，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10.社会保障和就业支出（类）行政事业单位养老支出（款）机关事业单位职业年金缴费支出（项）：支出决算数为94.90万元，比上年决算增加28.49万元，增长42.90%，主要原因是：本年新增退休人员，职业年金缴费支出增加。</w:t>
      </w:r>
    </w:p>
    <w:p>
      <w:pPr>
        <w:spacing w:line="580" w:lineRule="exact"/>
        <w:ind w:firstLine="640"/>
        <w:jc w:val="both"/>
      </w:pPr>
      <w:r>
        <w:rPr>
          <w:rFonts w:ascii="仿宋_GB2312" w:hAnsi="仿宋_GB2312" w:eastAsia="仿宋_GB2312"/>
          <w:b w:val="0"/>
          <w:sz w:val="32"/>
        </w:rPr>
        <w:t>11.社会保障和就业支出（类）就业补助（款）高技能人才培养补助（项）：支出决算数为105.00万元，比上年决算增加105.00万元，增长100.00%，主要原因是：本年度新增了高技能人才培养补助项目资金。</w:t>
      </w:r>
    </w:p>
    <w:p>
      <w:pPr>
        <w:spacing w:line="580" w:lineRule="exact"/>
        <w:ind w:firstLine="640"/>
        <w:jc w:val="both"/>
      </w:pPr>
      <w:r>
        <w:rPr>
          <w:rFonts w:ascii="仿宋_GB2312" w:hAnsi="仿宋_GB2312" w:eastAsia="仿宋_GB2312"/>
          <w:b w:val="0"/>
          <w:sz w:val="32"/>
        </w:rPr>
        <w:t>12.社会保障和就业支出（类）就业补助（款）其他就业补助支出（项）：支出决算数为91.98万元，比上年决算增加26.99万元，增长41.53%，主要原因是：本年度增加了就业工作补助经费项目资金。</w:t>
      </w:r>
    </w:p>
    <w:p>
      <w:pPr>
        <w:spacing w:line="580" w:lineRule="exact"/>
        <w:ind w:firstLine="640"/>
        <w:jc w:val="both"/>
      </w:pPr>
      <w:r>
        <w:rPr>
          <w:rFonts w:ascii="仿宋_GB2312" w:hAnsi="仿宋_GB2312" w:eastAsia="仿宋_GB2312"/>
          <w:b w:val="0"/>
          <w:sz w:val="32"/>
        </w:rPr>
        <w:t>13.卫生健康支出（类）行政事业单位医疗（款）行政单位医疗（项）：支出决算数为45.87万元，比上年决算增加2.03万元，增长4.63%，主要原因是：本年在职人员工资基数调增，医疗缴费基数上涨，相应支出增加。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14.卫生健康支出（类）行政事业单位医疗（款）事业单位医疗（项）：支出决算数为11.00万元，比上年决算增加1.95万元，增长21.55%，主要原因是：本年在职人员工资基数调增，医疗缴费基数上涨，相应支出增加。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15.卫生健康支出（类）行政事业单位医疗（款）公务员医疗补助（项）：支出决算数为27.18万元，比上年决算增加23.87万元，增长721.15%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16.卫生健康支出（类）行政事业单位医疗（款）其他行政事业单位医疗支出（项）：支出决算数为0.70万元，比上年决算增加0.25万元，增长55.56%，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17.资源勘探工业信息等支出（类）制造业（款）通信设备、计算机及其他电子设备制造业（项）：支出决算数为4.40万元，比上年决算增加4.40万元，增长100.00%，主要原因是：本年增加专项项目经费。</w:t>
      </w:r>
    </w:p>
    <w:p>
      <w:pPr>
        <w:spacing w:line="580" w:lineRule="exact"/>
        <w:ind w:firstLine="640"/>
        <w:jc w:val="both"/>
      </w:pPr>
      <w:r>
        <w:rPr>
          <w:rFonts w:ascii="仿宋_GB2312" w:hAnsi="仿宋_GB2312" w:eastAsia="仿宋_GB2312"/>
          <w:b w:val="0"/>
          <w:sz w:val="32"/>
        </w:rPr>
        <w:t>18.住房保障支出（类）住房改革支出（款）住房公积金（项）：支出决算数为92.49万元，比上年决算增加7.11万元，增长8.33%，主要原因是：本年在职人员工资基数调增，公积金缴费基数上涨，相应支出增加。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19.其他支出（类）其他支出（款）其他支出（项）：支出决算数为18.03万元，比上年决算减少0.61万元，下降3.27%，主要原因是：本年为民办实事项目经费较上年减少。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2025年度一般公共预算财政拨款基本支出1,414.53万元，其中：</w:t>
      </w:r>
      <w:r>
        <w:rPr>
          <w:rFonts w:ascii="仿宋_GB2312" w:hAnsi="仿宋_GB2312" w:eastAsia="仿宋_GB2312"/>
          <w:b/>
          <w:sz w:val="32"/>
        </w:rPr>
        <w:t>人员经费1,251.90万元，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生活补助、奖励金。</w:t>
      </w:r>
    </w:p>
    <w:p>
      <w:pPr>
        <w:spacing w:line="580" w:lineRule="exact"/>
        <w:ind w:firstLine="640"/>
        <w:jc w:val="both"/>
      </w:pPr>
      <w:r>
        <w:rPr>
          <w:rFonts w:ascii="仿宋_GB2312" w:hAnsi="仿宋_GB2312" w:eastAsia="仿宋_GB2312"/>
          <w:b/>
          <w:sz w:val="32"/>
        </w:rPr>
        <w:t>公用经费162.63万元，</w:t>
      </w:r>
      <w:r>
        <w:rPr>
          <w:rFonts w:ascii="仿宋_GB2312" w:hAnsi="仿宋_GB2312" w:eastAsia="仿宋_GB2312"/>
          <w:b w:val="0"/>
          <w:sz w:val="32"/>
        </w:rPr>
        <w:t>包括：办公费、印刷费、水费、电费、邮电费、取暖费、物业管理费、差旅费、公务接待费、劳务费、委托业务费、工会经费、福利费、公务用车运行维护费、其他交通费用、其他商品和服务支出。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2025年度财政拨款“三公”经费支出9.19万元，</w:t>
      </w:r>
      <w:r>
        <w:rPr>
          <w:rFonts w:ascii="仿宋_GB2312" w:hAnsi="仿宋_GB2312" w:eastAsia="仿宋_GB2312"/>
          <w:b w:val="0"/>
          <w:sz w:val="32"/>
        </w:rPr>
        <w:t>比上年增加0.10万元，增长1.10%，主要原因是：本年度接待人次较上年增加，导致公务接待费较上年增加。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公务用车购置及运行维护费支出8.80万元，占95.76%，比上年增加0.00万元，增长0.00%，主要原因是：本单位公务用车购置及运行维护费与上年一致无变化。</w:t>
      </w:r>
      <w:r>
        <w:rPr>
          <w:rFonts w:ascii="仿宋_GB2312" w:hAnsi="仿宋_GB2312" w:eastAsia="仿宋_GB2312"/>
          <w:b w:val="0"/>
          <w:sz w:val="32"/>
        </w:rPr>
        <w:t>公务接待费支出0.39万元，占4.24%，比上年增加0.10万元，增长34.48%，主要原因是：本年度接待人次较上年增加，导致公务接待费较上年增加。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8.80万元，其中：公务用车购置费0.00万元，公务用车运行维护费8.80万元。公务用车运行维护费开支内容包括车辆加油费、维修费、保险费、审车费、过路费等。公务用车购置数0辆，公务用车保有量4辆。国有资产占用情况中固定资产车辆4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公务接待费0.39万元，开支内容包括本年度上级单位来调研、交叉检查等工作，接待用餐费。单位全年安排的国内公务接待3批次，37人次。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9.19万元，决算数9.19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8.80万元，决算数8.80万元，预决算差异率0.00%，主要原因是：严格按照预算执行，预决算无差异。公务接待费全年预算数0.39万元，决算数0.39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人力资源和社会保障局（行政单位和参照公务员法管理事业单位）机关运行经费支出162.63万元，比上年增加19.84万元，增长13.89%，主要原因是：本年增加了劳务费，导致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2025年度政府采购支出总额604.60万元，其中：政府采购货物支出99.60万元、政府采购工程支出0.00万元、政府采购服务支出505.00万元。</w:t>
      </w:r>
    </w:p>
    <w:p>
      <w:pPr>
        <w:spacing w:line="580" w:lineRule="exact"/>
        <w:ind w:firstLine="640"/>
        <w:jc w:val="both"/>
      </w:pPr>
      <w:r>
        <w:rPr>
          <w:rFonts w:ascii="仿宋_GB2312" w:hAnsi="仿宋_GB2312" w:eastAsia="仿宋_GB2312"/>
          <w:b w:val="0"/>
          <w:sz w:val="32"/>
        </w:rPr>
        <w:t>授予中小企业合同金额604.60万元，占政府采购支出总额的100.00%，其中：授予小微企业合同金额604.60万元，占政府采购支出总额的100.00%。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22,783.17平方米，价值7,809.01万元。车辆4辆，价值69.18万元，其中：副部（省）级及以上领导用车0辆、主要负责人用车0辆、机要通信用车0辆、应急保障用车0辆、执法执勤用车0辆、特种专业技术用车0辆、离退休干部服务用车0辆、其他用车4辆，其他用车主要是：一般公务用车。单价100万元（含）以上设备（不含车辆）1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4,019.01万元，实际执行总额3,941.48万元；预算绩效评价项目19个，全年预算数2,540.93万元，全年执行数2,506.40万元。预算绩效管理取得的成效：一是建立健全工作机制。按照自治区财政厅全面实施预算绩效管理的安排部署，局主要领导亲自抓预算绩效管理工作，召开局长办公会、专题会议认真研究部署预算绩效管理工作。分管局领导指导、督促、落实绩效管理工作，研究提出具体措施办法，建立了上下协调、科室联动、层抓落实的工作机制；二是不断完善工作制度。认真研究学习，贯彻落实全面绩效管理的工作要求，结合我单位实际，完善用款计划管理，对发现的问题及时分析原因并纠正，建立了项目绩效跟踪机制。发现的问题及原因：一是对项目绩效过程还需加强监控，没有按计划完成预算资金的使用，前期没有对项目预算绩效进行科学评估，导致部分项目在实施中效果不理想；二是对绩效评价结果的应用还需强化，要加强与项目实施科室的沟通联系，随时了解项目进展情况，根据绩效评价情况安排资金，提高资金使用效率。下一步改进措施：一是强化绩效监控。按照预算编制、执行、绩效评价的工作要求，将全面实施预算绩效管理当作一项经常性、制度性的工作来抓；二是强化结果应用。要进一步强化绩效评价结果与预算安排挂钩机制，坚决做到将政策和项目支出预算绩效与项目资金安排挂钩，对绩效评价结果差的项目资金削减或取消。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1,733.57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3,659.36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3,659.36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323.65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246.12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1,845.57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4,019.01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3,941.48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98.07%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9.81</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昌吉州政府工作报告》要求，昌吉州人社局将紧盯区州党委、政府安排部署的重点工作，坚持就业优先战略，突出社保兜底功能，强化人才发展支撑，深化和谐劳动关系构建，落实好重点领域、重点行业、城乡基层和中小微企业就业支持计划。通过1.实施就业创业工程，促进高质量就业。持续加大政策落实和服务保障效力，稳定和扩大就业容量，确保实现城镇新增就业2.3万人以上、农村劳动力外出务工13万人次以上、新增创业0.45万人；2.实施技术技能人才引育提质工程，打造人才集聚区。认真贯彻落实《昌吉州关于加强和改进新时代人才引进培育工作的20条措施》，吸引聚集一批高端人才、技术人才来昌创新创业；3.实施和谐劳动关系构建工程，保障劳动者合法权益。持续深入开展根治欠薪工作，深入推进和谐劳动关系创建，提升劳动人事争议调解仲裁效能。不断提升人社部门的政府履职能力和水平，为全州经济社会高质量发展作出积极贡献。</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4,019.01万元，全年执行数为3,941.48万元，总预算执行率为98.07%，主要完成了一下工作：全力抓好稳就业工作，扎实推进社会保障制度落实，着力加强人才培养引进评价激励，积极构建和谐劳动关系，不断优化人社公共服务，圆满完成各项目标任务，推动人社事业取得了新的成效。全州城镇新增就业2.35万人，新增创业人数16006人，深入开展就业援助暖心活动，聚焦就业重点群体，扎实开展就业帮扶，全州农村劳动力外出务工13.25万人次，促进各类劳动者技能提升和就业创业。完成全州事业单位新聘人员岗前培训1次，劳动监察支队认真按照《劳动保障监察条例》要求，全年案件办理时限均在60日内完成，劳动人事争议案件均在45日的办案时限内结案，提升劳动人事争议调解仲裁质效。强化根治欠薪制度措施落实，开展集中整治拖欠农民工工资问题专项行动。依法受理查处欠薪案件，案件法定时效结案率达100%。通过以上工作的实施，达到了就业创业提质增量、社会保障拓面提效、人事人才活力迸发、劳动关系和谐稳定，不断提升人社部门的政府履职能力和水平，为全州经济社会高质量发展作出积极贡献。</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实现城镇新增就业人数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&gt;=2.30万人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昌吉州政府工作报告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=2.35万人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农村劳动力外出务工人数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&gt;=13万人次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昌吉州政府工作报告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=13.25万人次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新增创业人数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&gt;=4500人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昌吉州人力资源和社会保障局2025年工作计划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=16006人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完成全州事业单位新聘人员岗前培训次数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中组部、人社部《关于印发&lt;事业单位工作人员培训规定&gt;的通知》（人社部规〔2019〕4号)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劳动保障监察举报投诉案件法定时效结案率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关于下达2023年自治区人力资源和社会保障事业发展计划的通知（新人社发【2023】21号）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农民工案件结案率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关于下达2023年自治区人力资源和社会保障事业发展计划的通知（新人社发【2023】21号）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劳动人事争议调解仲裁案件结案率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昌吉州人力资源和社会保障局2025年工作计划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=99.52%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12333热线平台系统维护</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通过政府购买服务形式，通过话务员3人、质检回访1人，提供社保、就业、人事人才、劳动关系4大板块人社业务领域的政策咨询、信息查询、办事指南、在线受理和投诉举报等服务；通过下面的实施，充分发挥12333便民利企平台作用，提升人力资源和社会保障公共服务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31.98万元，资金执行率99.94%，本项目聘用话务人员3人，聘用质检回访人员1人，共接听68620个咨询电话。通过本项目实施，加强了社保、就业、人事人才、劳动关系4大板块人社业务咨询、信息查询、办事指南、在线受理和投诉等服务，提升了人力资源和社会保障公共服务水平，促进了人社公共服务标准化、规范化、便捷化建设，推动服务效能与群众满意度双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话务员人数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质检回访人数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12333热线咨询服务费用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人均系统维护成本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充分发挥12333便民利企平台作用，提升人力资源和社会保障公共服务水平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来电群众满意度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2025年自治区财政就业补助资金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通过购买就业服务，一是开展2场招聘会，共组织450家企业参与招聘活动，二是核验就业数据2.4万条。通过该项目的实施，促进高校毕业生等群体多渠道就业，降低失业率。同时，有序推进我州就业创业政策宣传咨询、指标评价、就业援助等就业服务工作的开展，进一步提高就业工作质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21万元，资金执行率100%，本项实际完成了2场招聘会、就业数据核验2万条。通过本项目的实施，组织企业，举办招聘活动，有序推进我州就业创业政策宣传咨询、指标评价、就业援助等就业服务工作开展。同时强化就业政策支持，推进就业政策宣传，不断提升就业政策社会效益，切实发挥创业带动就业倍增效应。</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举办招聘会次数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参加招聘的企业数量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&gt;=450家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=459家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305家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偏差原因为：因本次活动前期在各平台广泛宣传，企业参加积极性高，本次招聘会实际参会企业数量为459家。故产生偏差。；下一年度改进措施：后续的招聘组织工作中，合理调配各方资源，有效减少执行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就业数据核验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&gt;=2.40万条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16.67%，偏差原因为：指标设置时是根据以往单条数据的价格指定了条数，实际执行时，单条数据价格上涨，故在现有经费情况下，数据量减少。故产生偏差。下一年度改进措施：强化流程梳理与优化，精准把控任务分配，促进各环节紧密衔接，有效降低执行过程中的不确定性，确保申报目标顺利实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招聘活动举办成功率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就业数据核验合格率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各项工作完成期限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招聘工作活动费用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就业数据核验费用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促进就业工作科学合理开展，有序提升就业工作服务效能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公共就业服务受益群体满意度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=90.39%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100.43%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事业单位工作人员奖励证书、奖章、奖牌制作</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以年度考核、聘期考核结果为基本依据，对表现突出、作出较大贡献，在本单位发挥模范带头作用的，给予嘉奖；对取得突破性成就、作出重大贡献，在本地区本行业本领域产生较大影响的记功。做好我州2024年6000余名事业单位工作人员奖励证书、奖章制作，并补发2023年6000余名事业单位工作人员嘉奖证书，激发事业单位工作人员积极性与活力，进一步建设忠诚干净担当的事业单位工作人员队伍。</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23.3万元，资金执行率100%，本项目实际完成全州12348名事业单位工作人员嘉奖证书、627名事业单位工作人员记功证书及记功奖章制作；通过本项目的实施，加强了工作人员担当作为的政治自觉与责任意识、奖优罚劣的鲜明导向及奖励工作的规范性公信力；提升了队伍干事创业的内生动力、工作人员的职业荣誉感归属感；促进了风清气正干事氛围的形成，凝聚起事业发展的强大合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全州事业单位工作人员奖励证书、奖章制作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嘉奖人数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&gt;=12000人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=12348人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-2.9%，偏差原因为：本指标根据各县市实际上报的2023-2024年度评优人员的数据汇总，因各县市8月前上报人数较预期人数多，故相关指标大于期初指标；下一年度改进措施：在后续申报工作中，合理调配各方资源，有效减少执行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记功人数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89.57%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10.43%，偏差原因为：根据各县市实际上报的2023-2024年度评优人员的数据汇总而设置，此项工作为一次性工作，截至8月31日已完成，故产生偏差；下一年度改进措施：在未来申报中，持续深化流程优化，科学统筹工作安排，合理分配人力物力，以严谨细致的工作部署，全力保障项目任务按时、高质量落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记功比例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嘉奖比例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奖励工作按期完成时间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奖励证书费用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奖章费用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保障事业单位工作人员奖励，达到激励事业单位工作人员目的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事业单位奖励人员满意度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通过颁发奖励进一步激发事业单位工作人员的积极性和动力，有效发挥对事业单位工作人员干事创业热情的积极作用，进一步激发工作人员积极性和创造性，故导致与期初目标设置偏差；下一年度改进措施：后续申报项目，着重完善工作流程体系，合理规划工作布局，最大限度避免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事业单位新聘人员岗前公共科目培训工作</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92.80%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8.2</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开展对事业单位新聘用工作人员约1000人进行岗前培训一次。岗前培训内容包括公共科目和专业科目，预计累计时间不少于40学时或者5天。岗前公共科目培训由事业单位人事综合管理部门编制计划，通过政府购买服务方式，统一组织或者委托专门培训机构组织，采取集中脱产培训方式进行，达到提高事业单位新聘人员工作水平目的。</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92.8万元，资金执行率92.8%，本项目实际完成昌吉州2024年事业单位新聘用工作人员928人岗前培训，培训班重点围绕提升政治理论水平、加强法律法规修炼、提高履职能力等主题开展；通过本项目的实施，加强了2024年事业单位新聘用工作人员专业素养与业务水平，提升了角色适配度与职业认知，助力快速完成身份转变、高效应对岗位工作、支撑长期职业发展，促进了团队凝聚力与协作氛围的形成，提升整体工作效能，为各项工作高质量推进筑牢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全州事业单位新聘人员岗前培训次数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7.2%，偏差原因为：部分参训人员辞职解聘，或因工作原因无法及时参训，故产生偏差；下一年度改进措施：在未来申报中，持续深化流程优化，科学统筹工作安排，合理分配人力物力，以严谨细致的工作部署，全力保障项目任务按时、高质量落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岗前培训工作按期完成时间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岗前培训工作政府购买服务培训费用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岗前培训工作政府购买服务食宿费用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保障新聘人员参训，达到提高事业单位新聘人员工作水平目的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用人单位满意度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-8.89%，偏差原因为：通过岗前培训，提升了参训人员的思想政治觉悟，达到提升工作水平目的，因此用人单位满意度较高，故产生偏差；下一年度改进措施：后续申报时，坚持精细化管理理念，优化工作流程设计，精准分配任务职责，强化各环节协同配合，全力提升项目执行的精准度与完成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95.50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人社局劳动保障大厦信访接待室补助资金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16.94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16.94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完成修建信访接待室1间，总建筑总面积25.92平方米(3.6米x7.2米），为吊装式钢筋水泥成品房，完善配套水电暖设施等。通过该项目的实施提升信访室管理的科学化、智能化、人性化水平，以及信访维稳、安防要求。</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16.94万元，资金执行率99.65%，本项目实际完成修建信访接待室1间，总建筑总面积25.92平方米，为吊装式钢筋水泥成品房，完善配套水电暖设施等。通过本项目的实施提升了信访室管理的科学化、智能化、人性化水平，以及信访维稳、安防要求。</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信访室修建面积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&gt;=25.92平方米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=25.92平方米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此项指标未完成，存在偏差，偏差率为0.31%，偏差原因为：项目人员初期测量时计算不精准，导致实际修建面积较指标有一定的偏差；下一年度改进措施：提高预算编制准确性，确保后续各类项目保质保量。</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修建房间数量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信访室修建质量验收合格率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项目工程完工时间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2025年7月21日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成品房及安装费用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室外工程费用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&lt;=3.78万元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提升信访室管理的科学化、智能化、人性化水平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信访接待工作人员服务态度满意度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人社政策、新闻宣传经费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制作发布与就业政策解读相关的动漫、视频等25条，制作就业工作专题片1部。把党和政府的关怀与温暖传递到千家万户，让各族群众零距离知晓党的惠民政策，享受政策红利，切实增强民生福祉，为实现共同富裕、推进经济社会高质量发展提供人才支撑提供强大助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15万元，资金执行率100%，本项目实际制作发布了就业政策解读相关的文字、动漫、视频等25条，制作就业工作专题片1部，发布了人社政策144期；通过本项目的实施，加强了就业政策宣传面、覆盖面、知晓率、提升了就业政策使用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制作发布与就业政策解读相关的文字、动漫、视频等条数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制作就业工作(含三支一扶)专题片数量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各类宣传作品验收合格率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人社政策宣传发布完成时间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制作发布与就业政策解读相关的文字、动漫、视频等经费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专题片制作费用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提高人社政策、就业工作知晓率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浏览群众满意度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-8.89%，偏差原因为：本年由专业团队通过各种媒体平台，以群众喜闻乐见的方式全方位、多角度、深层次宣传人社惠民政策和人社工作成效，提升人社政策和工作知晓率、满意率，故实际测评满意度高于预期值产生偏差；下一年度改进措施：后续申报过程中，将强化流程梳理与优化，精准把控任务分配，促进各环节紧密衔接，有效降低执行过程中的不确定性，确保申报目标顺利实现。</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关于拨付州人社局大学生暑期实习实践活动项目经费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47.87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95.74%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8.93</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47.87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2025年拟投入财政资金50万元，主要实施内容为：计划2025年7月邀请50名左右的大学生赴昌开展“才聚昌吉·智汇庭州”大学生暑期实习实践活动，主要保障实习大学生的食宿、交通、活动、安全等方面需求。达到增强名校优生对昌吉州经济、文化、产业等方面的了解和认识方式，解决党政机关和事业单位提前引才和企业引才留才难的问题，多方式开展昌吉州人才政策宣传，将实习实践的学生发展成昌吉州引才政策宣传员的目的，使大学生暑期实习实践活动人员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47.87万元，资金执行率95.74%，本项目实际完成邀请50名左右的大学生赴昌开展“才聚昌吉·智汇庭州”大学生暑期实习实践活动，保障了实习大学生的食宿、交通、活动、安全等方面需求。通过本项目的实施，达到了增强名校优生对昌吉州经济、文化、产业等方面的了解和认识方式，解决了党政机关和事业单位提前引才和企业引才留才难的问题，将实习实践的学生发展成昌吉州引才政策宣传员的目的。</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大学生暑期实习实践人数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大学生暑期实习实践工作完成率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大学生暑期实习实践工作完成时限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意外伤害保险费用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70%，偏差原因为：保险费通过竞价后，最低价每人30元，共计50人，实际支付金额为1500元，与指标值产生偏差；下一年度改进措施：在未来申报中，持续深化流程优化，科学统筹工作安排，合理分配人力物力，以严谨细致的工作部署，全力保障项目任务按时、高质量落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其他实践活动保障经费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&lt;=49.50万元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=47.72万元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增进对昌吉州人才就业环境的了解</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大学生暑期实习实践活动的满意度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活动采取“导师制”实践与沉浸式考察相结合的模式，组织学生在自治州实践锻炼，参与基层服务工作、实地考察支柱产业、体验当地特色文化。因对参与实践活动的50名大学生满意度较高，故产生偏差；下一年度改进措施：我单位将在以后项目实施情况进行绩效评价时，通过绩效评价工作科学合理调整下一年项目绩效监控指标，确保项目绩效工作高质量完成。。</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劳动人事争议调解仲裁工作经费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14.78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98.53%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9.63</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14.78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2025年该项目计划办理案件240件，当期结案率达到93%以上，案件调解率达到60%以上。通过该项目的实施，维护劳动关系双方合法权益，构建和谐劳动关系，提升劳动人事争议仲裁公信力。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14.78万元，资金执行率98.53%，本项目实际完成州本级仲裁机构受理劳动人事争议案件205起，办结205起，其中调解124起，仲裁结案率99.3%，调解成功率60.49%，涉案金额1699.99万元。劳动关系方面对892家企业的人工成本情况及其7.67万名从业人员工资报酬情况进行调查。通过本项目的实施，加强了普法宣传，前置风险防控，降低争议发生率。提升了工作质效，确保争议依法处理，促进了劳动环境和谐，企业用工规范，职工维权服务。</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当年办理案件数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&gt;=240件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=205件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85.42%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234件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14.58%，偏差原因为：截至12月31日我单位接到的仲裁案件较上年减少，因此实际办理的案件数为205件，故与期初设定指标有偏差。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当期结案率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=99.02%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106.47%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6.47%，偏差原因为：本年度结案率较高，导致与期初设定目标产生偏差。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案件调解率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=60.49%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100.82%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劳动人事争议案件办案时限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77.78%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2.22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22.22%，偏差原因为：仲裁案件情况比较复杂，难易不同，简易案件结案时间较短，复杂案件时间较长，年初设定指标时，根据相关文件规定设置最低时限，故实际完成值与期初设定指标有偏差。下一年度改进措施：提高预算编制准确性，综合考虑案件情况，确保后续各类项目严格按照预算指标进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仲裁工作经费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0.28%，偏差原因为：我单位案件的补助费用根据受理的案件数量决定，截至12月31日我单位接到的仲裁案件较上年减少，因此相关费用支出偏低。下一年度改进措施：科学统筹工作安排，合理分配人力物力，以严谨细致的工作部署，全力保障项目，实现资金合理使用。</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企业薪酬调查费用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构建和谐稳定劳动关系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受益群众满意率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劳动保障监察经费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2025年该项目计划：一是购买2项政府服务（1.根治欠薪线索反映平台系统数据维护项目，2.农民工工资支付监控预警平台(新薪通)及智慧监察投诉举报案件办理系统数据维护项目），二是定制执法服装9套。 通过该项目的实施全面推行自治区新薪通监控预警平台，提升信息化管理水平，提升根治欠薪工作质效；建立健全市场主体自律、政府依法监管、社会协同监督、司法联动惩处的工作体系，推动根治拖欠农民工工资工作取得新进展，实现农民工工资基本无拖欠。</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23元，资金执行率100%，本项目实际完成政府购买服务2项（全国根治欠薪线索反映平台、农民工工资支付监控预警平台）、购买执法服装9套；通过本项目的实施，有效防范了工程领域欠薪风险，保障了农民工劳动报酬权益，提升了执法队伍的规范化形象和执法公信力，为高效开展监察执法工作提供了有力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政府购买服务数量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购买执法服装数量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购买制装验收合格率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服务时长</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政府购买服务成本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劳动保障监察置装费用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提升信息化管理水平，保障农民工工资支付工作质效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系统使用人员满意率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博峰精英计划及庭州英才项目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98.15%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9.54</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昌吉州重点人才计划实施方案》(昌州人才办字〔2021〕1号)，为加强对高层次引进人才的奖励和使用，营造尊重知识、尊重人才的良好氛围，引进海内外精英来昌服务。围绕自治州重大战略和重点发展领域，确保全职引进急需紧缺领军人才2名、柔性引进急需紧缺领军人才15名、全职引进博士人才1名、庭州英才43名，受资助期间公开发表论文数量25篇以上，解决技术难题或创造科研成果10项以上，形成评估或结题报告30篇以上，逐步加强昌吉州科研创新人才队伍的建设。通过产学研合作、攻坚技术难题，提升引才单位的满意度、确保达到90%，实现科研链与产业链的精准对接及有效循环。</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478万元，资金执行率98.15%，本项目实际完成入选全职领军人才2人、入选柔性领军人才15人、入选庭州英才43人、入选全职博士1人；在受资助期间公开发表论文25篇、解决技术难题或创造科研成果10项、形成评估或工作总结报告30篇；通过本项目的实施，提升了服务精准度、优化了人才生态、强化了全过程管理等方面下功夫，推动了项目从“重数量”向“重效能”深化，真正将人才优势转化为发展优势。</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入选全职领军人才数量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在受资助期间公开发表论文数量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入选人才解决技术难题或创造科研成果数量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入选人才形成评估或工作总结报告数量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入选柔性领军人才数量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入选庭州英才人才数量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4.71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2.33%，偏差原因为：1名庭州英才人才自动放弃资助经费导致产生偏差；下一年度改进措施：后续申报过程中，将强化流程梳理与优化，精准把控任务分配，促进各环节紧密衔接，有效降低执行过程中的不确定性，确保申报目标顺利实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入选全职博士数量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补贴发放准确率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资助资金拨付及时率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全职领军人才资助标准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柔性领军人才资助标准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庭州英才人才资助标准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全职博士资助标准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长期发挥博峰精英的社会价值</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有效发挥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引才单位的满意率（%）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=90.91%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101.01%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就业工作经费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将于2025年1月开始实施，截至2025年12月全部完成，通过实施就业服务和补贴数据维护10万条以上、就业数据核验5万条、就业资金管理使用第三方评价等服务项目，促进就业政策和持续提升，促使就业工作科学合理开展，有序提升就业就业任务精准落实，就业资金安全合理运行，就业信息化建设服务效能工作服务效能。</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47.98万元，资金执行率99.96%，本项目实际完成就业服务和数据维护10万条、就业数据核验5万条，就业资金评价报告1个。通过本项目的实施，有序推进我州就业创业政策宣传咨询、指标评价、就业援助等就业服务工作开展。进一步规范各项补贴审理工作，确保就业资金安全合理运行，强化我州就业信息化建设工作，促进我州就业工作提质增效。</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就业服务和补贴数据维护数量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&gt;=10万条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4.5万条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就业数据核验数量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&gt;=5万条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就业资金评价报告数量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就业失业登记数据维护费用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就业创业补贴数据维护费用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就业数据核验费用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就业资金第三方评价费用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促进就业工作科学合理开展，有序提升就业工作服务效能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公共就业服务受益群体满意度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124.73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225.01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225.01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124.73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225.01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225.01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 开展三交活动2次；开展引才招聘次数1次，促进我州就业工作的开展；购置平板电脑数量10台；组织相关培训机构，安排我州人社系统的业务培训工作，提升培训人员业务素质、工作水平。通过福建援疆工作经费的投入，可以进一步缩小新疆与东部地区的发展差距，促进区域协调发展，旨在帮助我州加快脱贫攻坚步伐，实现全面小康，同时推动两地之间的互利合作和共同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225.01万元，资金执行率100%，本项目实际完成通过政采云平台购置10台平板电脑，开展1次引才招聘活动，2次三交活动，组织了10期援疆资金培训班；通过本项目的实施，加强了闽昌交流与合作，促进了区域协调发展，进一步缩小新疆与东部地区的发展差距，同时推动两地之间的互利合作和共同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购置平板电脑数量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开展引才招聘次数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开展三交活动次数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采购平板电脑验收合格率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各项工作完成时限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平板电脑购置费用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其他业务支出费用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&lt;=38.18万元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&lt;=182.84万元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=182.84万元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261.13万元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推动区域协调发展，促进闽昌交流与合作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保障人员满意率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昌吉州第三届职业技能大赛补助资金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98.53%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2025年拟投入财政资金6.8万元，主要实施内容为：通过聘请第三方开展赛前预热宣传、大赛期间信息发布、直播和赛事活动宣传，达到营造良好竞赛氛围，保障昌吉州第三届职业技能大赛竞赛工作有序实施，是宣传活动参与公众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6.7元，资金执行率98.53%，本项目实际完成昌吉州第三届职业技能大赛宣传1场次。通过本项目的实施，展现了新时代技能人才的风采，增强了社会对技能人才的认可度，激发了广大劳动者学技能的热情，营造了“技能成才、技能报国”的良好氛围，扩大了职业技能竞赛的社会影响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竞赛宣传场次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政府采购次数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2025年8月14日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大赛赛事直播费用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大赛平台推广宣传费用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扩大赛事社会宣传覆盖面</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扩大</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昌州财行【2025】30号-关于下达2025年“庭州英才”人才工作经费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绩效目标：2025年该项目计划评选庭州工匠15人，共发放支持资金45万元。通过师带徒培养模式，开展技能人才培养工作，计划培育技能人才83名，进一步发挥高技能人才在经济社会发展中的引领作用，提升我州高技能人才占比，为经济社会发展提供必要的技能人才支撑。</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45万元，资金执行率100%。本项目实际完成由本级发放支持资金的2024年庭州工匠（第三批）15人。通过本项目的实施，通过本项目的实施，技能人才示范引领作用显著增强，有效带动依托单位技能水平整体提升，夯实企业发展的人才与技术基础，推动区域内相关产业技术迭代升级，为昌吉州行业高质量发展注入“智力动能”，成为引领产业进步的核心力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评选由本级发放支持资金的庭州工匠人数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评选由本级发放支持资金的庭州工匠师带徒人数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庭州工匠师带徒计划任务书签订完成率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资金支付完成时间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2025年11月29日前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庭州工匠个人生活补助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庭州工匠师带徒培养工作经费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为昌吉州经济发展提供人才支撑，带动产业升级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受资助工匠人员的满意度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昌州财行【2025】4号关于下达2025年度人才工作经费预算的通知</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评选庭州工匠11人，评选高层次人才（技能大师）工作室9个，共发放支持资金60万元。通过师带徒培养模式，开展技能人才培养工作，充分发挥人才在经济社会发展中的引领作用，提升我州高技能人才占比，为经济社会发展提供必要的技能人才支撑。</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60万元，资金执行率100%。本项目实际完成由本级发放支持资金的2024年庭州工匠（第二批）11人、第七批州级高层次人才（技能大师）工作室9个。通过本项目的实施，庭州工匠与技能大师工作室的示范引领作用显著增强，一方面有效带动依托单位技能水平整体提升，夯实企业发展的人才与技术基础；另一方面充分发挥辐射带动作用，推动区域内相关产业技术迭代升级，为昌吉州行业高质量发展注入“智力动能”，成为引领产业进步的核心力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评选由本级发放支持资金的庭州工匠人数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评选技能大师工作室个数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庭州工匠师带徒签订协议完成率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高层次人才（技能大师）工作室师带徒签订协议完成率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资金支付完成时间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=2025年5月31日前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2025年5月21日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庭州工匠拨款支持资金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技能大师工作室拨款支持资金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为昌吉州经济发展提供人才支撑，带动产业升级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受资助人员的满意度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211.82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196.95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176.99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19.96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通过3项政府购买服务方式，做好大厦后勤保障工作，完成设备维护、设施维修、更换次数20次，场地租赁服务1次，保障80人的工作环境，通过做好劳动保障大厦办公楼内外的各项保障工作，使各项设施完好并保障正常运行，提升大厦工作环境。同时，投入更多资源用于提升服务质量，满足服务对象的需求。</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196.95万元，资金执行率92.98%，本项目实际完成购买政府服务3项；设备维护、设施维修、更换20次；日常按时巡查及时维修；设备维护、设施维修、更换合格率100%；大厦内日常绿化、维保等开支按照实际发生及时支付。通过本项目的实施，加强了劳动保障大厦办公楼内外的各项保障工作，使各项设施完好并保障正常运行，提升了大厦工作环境。同时，投入更多资源用于提升服务质量，保障了大厦内80名办公人员的工作顺利开展，满足服务对象的需求。</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购买政府服务数量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设备维护、设施维修、更换次数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维修维护验收合格率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5.68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所有维修维护更换均通过政府采购，严格按照采购程序执行，多方询价，认真了解，因此验收合格率为100%，导致与预期值产生偏差。下一年度改进措施：将强化流程梳理与优化，精准把控任务分配，促进各环节紧密衔接，有效降低执行过程中的不确定性，确保申报目标顺利实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会场租赁经费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就业综合服务平台中全州农村劳动力就业数据维护费用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机关运行补助经费其他支出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&lt;=196.82万元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=181.96万元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7.55%，偏差原因为：2025年厉行节约，把控费用，减少不必要的维修维护费及部分业务工作的开展，所以与期初值产生偏差。下一年度改进措施：在后续申报工作将全面梳理工作流程，优化任务分工体系，均衡配置各类资源，通过标准化、规范化的执行方式，切实提升项目执行成效，降低偏差风险。</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保障各类工作顺利开展，提高工作效率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社保基金监督检查审计经费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通过聘请会计师事务所等第三方机构，依法对辖区3家社保基金的收支、管理运行等方面进行监督检查和审计，并形成审计报告1份。同时对各县市社保基金进行5次以上现场监督检查，从而达到加强社保基金工作规范化、标准化、专业化、信息化建设，确保社保基金安全运行。通过对社保基金使用管理进行审计，推动社保基金安全高效规范运行，进一步提高社保基金管理水平，完善基金管理制度，有序提升基金监督工作服务效能。</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14.9万元，资金执行率99.33%，本项目实际审计3个单位，出具审计报告一份，通过本项目的实施，推动了社保基金安全高效规范运行，进一步提高了社保基金管理水平，完善了基金管理制度，有序提升了基金监督工作服务效能。</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对各县市社保基金进行现场监督检查次数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审计单位数量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完成审计报告的数量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对辖区内的基金监督行政部门及州社保经办中心监督检查覆盖率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前期准备阶段工作成本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审计具体实施阶段工作成本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确保社保基金的安全，保障参保人员的权益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受审单位满意度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社保科11月14日追加人社局博士后工作经费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本项目本年拟投入1120万元，充分发挥博士后工作资助经费的引导作用，确保年内在站博士后达 50人，新创建博士后科研工作站3个，受资助博士后在站期间公开发表论文20篇以上，解决技术难题或创造科研成果10项以上，形成评估或结题报告20篇；当年课题完成率和及时率均达100%；成本指标得以有效控制；促进产学研合作，并持续解决工作生产中的难题；确保引进博士单位满意度达90%以上。通过提供资金支持，改善博士后研究人员的工作环境和条件，营造良好的学术氛围和研究氛围。引导优秀人才投身于科学研究和技术创新。</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1120万元，资金执行率100%，本项目实际完成在站博士后数量50人，公开发表论文20篇，技术难题解决10项，评估报告及工作总结20篇；通过本项目的实施，促进产学研合作，并持续解决工作生产中的难题；确保引进博士单位满意度达100%。通过提供资金支持，改善博士后研究人员的工作环境和条件，营造良好的学术氛围和研究氛围。引导优秀人才投身于科学研究和技术创新。</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在站博士后数量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受资助博士后在站期间公开发表论文数量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解决技术难题或创造科研成果数量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形成评估或结题报告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课题研究率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项目资助经费发放及时率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博士后工作科研经费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博士后工作站科研经费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发挥引进博士后的社会价值</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有效发挥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长期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引进博士单位满意率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职业能力建设工作</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25.19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96.88%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25.19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全年开展职业培训数据维护1万条，组织1次“庭州英才”庭州工匠项目评审，对2023年-2024年职业培训补贴资金使用情况进行审计1次。通过该项目的实施，提升职业培训系统管理使用效率；加强资金审计，确保职业培训补贴资金安全使用；加强政策宣传，提高职业培训政策知晓率；开展“庭州英才”人才计划庭州工匠项目评审及验收，提升技能人才培养能力和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25.19万元，资金执行率96.88%，本项目实际完成职业培训数据维护50180条、开展“庭州英才”庭州工匠项目评审1次、开展审计工作1次、制作高技能人才工作宣传片1部。通过本项目的实施，提升了职业培训系统管理使用效率；加强资金审计，确保了职业培训补贴资金安全使用；加强政策宣传，提高了职业培训政策知晓率；开展“庭州英才”人才计划庭州工匠项目评审及验收，提升了技能人才培养能力和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职业培训数据维护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&gt;=5万条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=5.018万条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100.36%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组织“庭州英才”庭州工匠项目评审次数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开展审计工作次数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制作高技能人才工作宣传片数量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职业培训数据维护验收合格率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4.74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数据维护验收合格率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各项工作完成期限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职业培训数据维护费用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职业培训补贴资金审计费用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“庭州英才”庭州工匠项目评审费用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高技能人才工作宣传片制作费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促进职业能力建设工作科学合理开展，有序提升就业工作服务效能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职业能力建设工作服务对象满意度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本年本单位其他项目1个，全年预算数10万元，全年执行数10万元。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