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昌吉回族自治州人力资源和社会保障服务中心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(一)贯彻执行党和国家、自治区关于人力资源和社会保障工作的方针政策、法律法规。</w:t>
      </w:r>
    </w:p>
    <w:p>
      <w:pPr>
        <w:spacing w:line="580" w:lineRule="exact"/>
        <w:ind w:firstLine="640"/>
        <w:jc w:val="both"/>
      </w:pPr>
      <w:r>
        <w:rPr>
          <w:rFonts w:ascii="仿宋_GB2312" w:hAnsi="仿宋_GB2312" w:eastAsia="仿宋_GB2312"/>
          <w:sz w:val="32"/>
        </w:rPr>
        <w:t>(二)承担州内职业技能等级评价机构日常监管和认定工作质量督导的辅助工作，指导开展职业技能等级认定资格备案申报工作；协助开展自治州机关事业单位工勤人员技能等级晋级考核。</w:t>
      </w:r>
    </w:p>
    <w:p>
      <w:pPr>
        <w:spacing w:line="580" w:lineRule="exact"/>
        <w:ind w:firstLine="640"/>
        <w:jc w:val="both"/>
      </w:pPr>
      <w:r>
        <w:rPr>
          <w:rFonts w:ascii="仿宋_GB2312" w:hAnsi="仿宋_GB2312" w:eastAsia="仿宋_GB2312"/>
          <w:sz w:val="32"/>
        </w:rPr>
        <w:t>(三)组织实施自治州专业技术职称评价；承担继续教育培训机构的业务指导工作。</w:t>
      </w:r>
    </w:p>
    <w:p>
      <w:pPr>
        <w:spacing w:line="580" w:lineRule="exact"/>
        <w:ind w:firstLine="640"/>
        <w:jc w:val="both"/>
      </w:pPr>
      <w:r>
        <w:rPr>
          <w:rFonts w:ascii="仿宋_GB2312" w:hAnsi="仿宋_GB2312" w:eastAsia="仿宋_GB2312"/>
          <w:sz w:val="32"/>
        </w:rPr>
        <w:t>(四)承担自治州高层次紧缺人才服务工作。</w:t>
      </w:r>
    </w:p>
    <w:p>
      <w:pPr>
        <w:spacing w:line="580" w:lineRule="exact"/>
        <w:ind w:firstLine="640"/>
        <w:jc w:val="both"/>
      </w:pPr>
      <w:r>
        <w:rPr>
          <w:rFonts w:ascii="仿宋_GB2312" w:hAnsi="仿宋_GB2312" w:eastAsia="仿宋_GB2312"/>
          <w:sz w:val="32"/>
        </w:rPr>
        <w:t>(五)负责全州及中央、自治区驻州各机关、企事业单位职工和灵活就业人员的劳动能力鉴定工作。</w:t>
      </w:r>
    </w:p>
    <w:p>
      <w:pPr>
        <w:spacing w:line="580" w:lineRule="exact"/>
        <w:ind w:firstLine="640"/>
        <w:jc w:val="both"/>
      </w:pPr>
      <w:r>
        <w:rPr>
          <w:rFonts w:ascii="仿宋_GB2312" w:hAnsi="仿宋_GB2312" w:eastAsia="仿宋_GB2312"/>
          <w:sz w:val="32"/>
        </w:rPr>
        <w:t>(六)承担州本级参保人员工伤认定、全州参保职工的特殊工种认定的辅助工作。</w:t>
      </w:r>
    </w:p>
    <w:p>
      <w:pPr>
        <w:spacing w:line="580" w:lineRule="exact"/>
        <w:ind w:firstLine="640"/>
        <w:jc w:val="both"/>
      </w:pPr>
      <w:r>
        <w:rPr>
          <w:rFonts w:ascii="仿宋_GB2312" w:hAnsi="仿宋_GB2312" w:eastAsia="仿宋_GB2312"/>
          <w:sz w:val="32"/>
        </w:rPr>
        <w:t>(七)组织实施事业单位招聘、专业技术人员资格类考试。</w:t>
      </w:r>
    </w:p>
    <w:p>
      <w:pPr>
        <w:spacing w:line="580" w:lineRule="exact"/>
        <w:ind w:firstLine="640"/>
        <w:jc w:val="both"/>
      </w:pPr>
      <w:r>
        <w:rPr>
          <w:rFonts w:ascii="仿宋_GB2312" w:hAnsi="仿宋_GB2312" w:eastAsia="仿宋_GB2312"/>
          <w:sz w:val="32"/>
        </w:rPr>
        <w:t>(八)承担自治州人力资源和社会保障系统信息化建设和管理服务工作。</w:t>
      </w:r>
    </w:p>
    <w:p>
      <w:pPr>
        <w:spacing w:line="580" w:lineRule="exact"/>
        <w:ind w:firstLine="640"/>
        <w:jc w:val="both"/>
      </w:pPr>
      <w:r>
        <w:rPr>
          <w:rFonts w:ascii="仿宋_GB2312" w:hAnsi="仿宋_GB2312" w:eastAsia="仿宋_GB2312"/>
          <w:sz w:val="32"/>
        </w:rPr>
        <w:t>(九)完成自治州人力资源和社会保障局交办的其他任务。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昌吉回族自治州人力资源和社会保障服务中心无下属预算单位。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2025年度收入总计1,273.92万元，</w:t>
      </w:r>
      <w:r>
        <w:rPr>
          <w:rFonts w:ascii="仿宋_GB2312" w:hAnsi="仿宋_GB2312" w:eastAsia="仿宋_GB2312"/>
          <w:b w:val="0"/>
          <w:sz w:val="32"/>
        </w:rPr>
        <w:t>其中：本年收入合计1,104.53万元，使用非财政拨款结余（含专用结余）0.00万元，年初结转和结余169.39万元。</w:t>
      </w:r>
    </w:p>
    <w:p>
      <w:pPr>
        <w:spacing w:line="580" w:lineRule="exact"/>
        <w:ind w:firstLine="640"/>
        <w:jc w:val="both"/>
      </w:pPr>
      <w:r>
        <w:rPr>
          <w:rFonts w:ascii="仿宋_GB2312" w:hAnsi="仿宋_GB2312" w:eastAsia="仿宋_GB2312"/>
          <w:b/>
          <w:sz w:val="32"/>
        </w:rPr>
        <w:t>2025年度支出总计1,273.92万元，</w:t>
      </w:r>
      <w:r>
        <w:rPr>
          <w:rFonts w:ascii="仿宋_GB2312" w:hAnsi="仿宋_GB2312" w:eastAsia="仿宋_GB2312"/>
          <w:b w:val="0"/>
          <w:sz w:val="32"/>
        </w:rPr>
        <w:t>其中：本年支出合计1,021.24万元，结余分配0.00万元，年末结转和结余252.68万元。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增加147.20万元，增长13.06%，主要原因是：本年在职人员工资调增，人员经费增加，考试、考务工作项目经费增加。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本年收入1,104.53万元，</w:t>
      </w:r>
      <w:r>
        <w:rPr>
          <w:rFonts w:ascii="仿宋_GB2312" w:hAnsi="仿宋_GB2312" w:eastAsia="仿宋_GB2312"/>
          <w:b w:val="0"/>
          <w:sz w:val="32"/>
        </w:rPr>
        <w:t>其中：财政拨款收入795.58万元，占72.03%；上级补助收入0.00万元，占0.00%；事业收入0.00万元，占0.00%；经营收入0.00万元，占0.00%；附属单位上缴收入0.00万元，占0.00%；其他收入308.95万元，占27.97%。</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本年支出1,021.24万元，</w:t>
      </w:r>
      <w:r>
        <w:rPr>
          <w:rFonts w:ascii="仿宋_GB2312" w:hAnsi="仿宋_GB2312" w:eastAsia="仿宋_GB2312"/>
          <w:b w:val="0"/>
          <w:sz w:val="32"/>
        </w:rPr>
        <w:t>其中：基本支出494.97万元，占48.47%；项目支出526.27万元，占51.53%；上缴上级支出0.00万元，占0.00%；经营支出0.00万元，占0.00%；对附属单位补助支出0.00万元，占0.00%。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2025年度财政拨款收入总计795.58万元，</w:t>
      </w:r>
      <w:r>
        <w:rPr>
          <w:rFonts w:ascii="仿宋_GB2312" w:hAnsi="仿宋_GB2312" w:eastAsia="仿宋_GB2312"/>
          <w:b w:val="0"/>
          <w:sz w:val="32"/>
        </w:rPr>
        <w:t>其中：年初财政拨款结转和结余0.00万元，本年财政拨款收入795.58万元。</w:t>
      </w:r>
      <w:r>
        <w:rPr>
          <w:rFonts w:ascii="仿宋_GB2312" w:hAnsi="仿宋_GB2312" w:eastAsia="仿宋_GB2312"/>
          <w:b/>
          <w:sz w:val="32"/>
        </w:rPr>
        <w:t>财政拨款支出总计795.58万元，</w:t>
      </w:r>
      <w:r>
        <w:rPr>
          <w:rFonts w:ascii="仿宋_GB2312" w:hAnsi="仿宋_GB2312" w:eastAsia="仿宋_GB2312"/>
          <w:b w:val="0"/>
          <w:sz w:val="32"/>
        </w:rPr>
        <w:t>其中：年末财政拨款结转和结余0.00万元，本年财政拨款支出795.58万元。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增加155.45万元，增长24.28%，主要原因是：本年在职人员工资调增，人员经费增加，考试工作经费项目经费增加。</w:t>
      </w:r>
      <w:r>
        <w:rPr>
          <w:rFonts w:ascii="仿宋_GB2312" w:hAnsi="仿宋_GB2312" w:eastAsia="仿宋_GB2312"/>
          <w:b/>
          <w:sz w:val="32"/>
        </w:rPr>
        <w:t>与年初预算相比，</w:t>
      </w:r>
      <w:r>
        <w:rPr>
          <w:rFonts w:ascii="仿宋_GB2312" w:hAnsi="仿宋_GB2312" w:eastAsia="仿宋_GB2312"/>
          <w:b w:val="0"/>
          <w:sz w:val="32"/>
        </w:rPr>
        <w:t>年初预算数730.08万元，决算数795.58万元，预决算差异率8.97%，主要原因是：年中追加人员经费及人员工资、社保、公积金基数调增部分资金，导致预决算存在差异。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val="0"/>
          <w:sz w:val="32"/>
        </w:rPr>
        <w:t>按照支出功能分类，社会保障和就业支出（类）人力资源和社会保障管理事务（款）行政运行（项）的支出占本年财政拨款支出总额的比重最高，2025年度决算数为354.09万元，占比44.51%，主要用于人员经费及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2025年度一般公共预算财政拨款支出795.58万元，</w:t>
      </w:r>
      <w:r>
        <w:rPr>
          <w:rFonts w:ascii="仿宋_GB2312" w:hAnsi="仿宋_GB2312" w:eastAsia="仿宋_GB2312"/>
          <w:b w:val="0"/>
          <w:sz w:val="32"/>
        </w:rPr>
        <w:t>占本年支出合计的77.90%。</w:t>
      </w:r>
      <w:r>
        <w:rPr>
          <w:rFonts w:ascii="仿宋_GB2312" w:hAnsi="仿宋_GB2312" w:eastAsia="仿宋_GB2312"/>
          <w:b/>
          <w:sz w:val="32"/>
        </w:rPr>
        <w:t>与上年相比，</w:t>
      </w:r>
      <w:r>
        <w:rPr>
          <w:rFonts w:ascii="仿宋_GB2312" w:hAnsi="仿宋_GB2312" w:eastAsia="仿宋_GB2312"/>
          <w:b w:val="0"/>
          <w:sz w:val="32"/>
        </w:rPr>
        <w:t>增加155.45万元，增长24.28%，主要原因是：本年在职人员工资调增，社保、公积金基数调增，人员经费增加，考试工作经费项目经费增加。</w:t>
      </w:r>
      <w:r>
        <w:rPr>
          <w:rFonts w:ascii="仿宋_GB2312" w:hAnsi="仿宋_GB2312" w:eastAsia="仿宋_GB2312"/>
          <w:b/>
          <w:sz w:val="32"/>
        </w:rPr>
        <w:t>与年初预算相比，</w:t>
      </w:r>
      <w:r>
        <w:rPr>
          <w:rFonts w:ascii="仿宋_GB2312" w:hAnsi="仿宋_GB2312" w:eastAsia="仿宋_GB2312"/>
          <w:b w:val="0"/>
          <w:sz w:val="32"/>
        </w:rPr>
        <w:t>年初预算数730.08万元，决算数795.58万元，预决算差异率8.97%，主要原因是：年中追加人员工资、社保、公积金基数调增部分资金，导致预决算存在差异。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1.社会保障和就业支出（类）725.62万元，占91.21%。</w:t>
      </w:r>
    </w:p>
    <w:p>
      <w:pPr>
        <w:spacing w:line="580" w:lineRule="exact"/>
        <w:ind w:firstLine="640"/>
        <w:jc w:val="both"/>
      </w:pPr>
      <w:r>
        <w:rPr>
          <w:rFonts w:ascii="仿宋_GB2312" w:hAnsi="仿宋_GB2312" w:eastAsia="仿宋_GB2312"/>
          <w:b w:val="0"/>
          <w:sz w:val="32"/>
        </w:rPr>
        <w:t>2.卫生健康支出（类）33.92万元，占4.26%。</w:t>
      </w:r>
    </w:p>
    <w:p>
      <w:pPr>
        <w:spacing w:line="580" w:lineRule="exact"/>
        <w:ind w:firstLine="640"/>
        <w:jc w:val="both"/>
      </w:pPr>
      <w:r>
        <w:rPr>
          <w:rFonts w:ascii="仿宋_GB2312" w:hAnsi="仿宋_GB2312" w:eastAsia="仿宋_GB2312"/>
          <w:b w:val="0"/>
          <w:sz w:val="32"/>
        </w:rPr>
        <w:t>3.住房保障支出（类）36.04万元，占4.53%。</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人力资源和社会保障管理事务（款）行政运行（项）：支出决算数为354.09万元，比上年决算增加33.93万元，增长10.60%，主要原因是：本年在职人员工资调增，导致相关人员经费较上年增加。</w:t>
      </w:r>
    </w:p>
    <w:p>
      <w:pPr>
        <w:spacing w:line="580" w:lineRule="exact"/>
        <w:ind w:firstLine="640"/>
        <w:jc w:val="both"/>
      </w:pPr>
      <w:r>
        <w:rPr>
          <w:rFonts w:ascii="仿宋_GB2312" w:hAnsi="仿宋_GB2312" w:eastAsia="仿宋_GB2312"/>
          <w:b w:val="0"/>
          <w:sz w:val="32"/>
        </w:rPr>
        <w:t>2.社会保障和就业支出（类）人力资源和社会保障管理事务（款）一般行政管理事务（项）：支出决算数为26.20万元，比上年决算增加12.61万元，增长92.79%，主要原因是：本年劳动能力鉴定工作经费较上年增加。</w:t>
      </w:r>
    </w:p>
    <w:p>
      <w:pPr>
        <w:spacing w:line="580" w:lineRule="exact"/>
        <w:ind w:firstLine="640"/>
        <w:jc w:val="both"/>
      </w:pPr>
      <w:r>
        <w:rPr>
          <w:rFonts w:ascii="仿宋_GB2312" w:hAnsi="仿宋_GB2312" w:eastAsia="仿宋_GB2312"/>
          <w:b w:val="0"/>
          <w:sz w:val="32"/>
        </w:rPr>
        <w:t>3.社会保障和就业支出（类）人力资源和社会保障管理事务（款）信息化建设（项）：支出决算数为18.00万元，比上年决算增加3.00万元，增长20.00%，主要原因是：本年四级联动视频会议系统使用及网络维护项目经费较上年增加。</w:t>
      </w:r>
    </w:p>
    <w:p>
      <w:pPr>
        <w:spacing w:line="580" w:lineRule="exact"/>
        <w:ind w:firstLine="640"/>
        <w:jc w:val="both"/>
      </w:pPr>
      <w:r>
        <w:rPr>
          <w:rFonts w:ascii="仿宋_GB2312" w:hAnsi="仿宋_GB2312" w:eastAsia="仿宋_GB2312"/>
          <w:b w:val="0"/>
          <w:sz w:val="32"/>
        </w:rPr>
        <w:t>4.社会保障和就业支出（类）人力资源和社会保障管理事务（款）其他人力资源和社会保障管理事务支出（项）：支出决算数为256.42万元，比上年决算增加111.74万元，增长77.23%，主要原因是：本年考试工作经费较上年增加。</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5.社会保障和就业支出（类）行政事业单位养老支出（款）行政单位离退休（项）：支出决算数为0.70万元，比上年决算减少3.06万元，下降81.38%，主要原因是：本年退休人员自然减员，退休费支出较上年减少。</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44.23万元，比上年决算减少1.19万元，下降2.62%，主要原因是：本年在职人员调入调出，人员职级不同，缴费基数不同，导致养老保险缴费较上年减少。</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25.99万元，比上年决算减少10.68万元，下降29.12%，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18.70万元，比上年决算增加3.22万元，增长20.80%，主要原因是：本年因行政人员与事业人员结构调整，导致行政单位医疗缴费增加。</w:t>
      </w:r>
    </w:p>
    <w:p>
      <w:pPr>
        <w:spacing w:line="580" w:lineRule="exact"/>
        <w:ind w:firstLine="640"/>
        <w:jc w:val="both"/>
      </w:pPr>
      <w:r>
        <w:rPr>
          <w:rFonts w:ascii="仿宋_GB2312" w:hAnsi="仿宋_GB2312" w:eastAsia="仿宋_GB2312"/>
          <w:b w:val="0"/>
          <w:sz w:val="32"/>
        </w:rPr>
        <w:t>9.卫生健康支出（类）行政事业单位医疗（款）事业单位医疗（项）：支出决算数为3.69万元，比上年决算减少3.54万元，下降48.96%，主要原因是：本年在职人员调入调出，人员职级不同，缴费基数不同，导致事业单位医疗支出较上年减少。</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10.卫生健康支出（类）行政事业单位医疗（款）公务员医疗补助（项）：支出决算数为11.27万元，比上年决算增加9.85万元，增长693.66%，主要原因是：本年公务员医疗补助缴费比例增长，导致缴费增加。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11.卫生健康支出（类）行政事业单位医疗（款）其他行政事业单位医疗支出（项）：支出决算数为0.26万元，比上年决算增加0.21万元，增长420.00%，主要原因是：本年大额医疗补助缴费比例增长，导致缴费增加。</w:t>
      </w:r>
    </w:p>
    <w:p>
      <w:pPr>
        <w:spacing w:line="580" w:lineRule="exact"/>
        <w:ind w:firstLine="640"/>
        <w:jc w:val="both"/>
      </w:pPr>
      <w:r>
        <w:rPr>
          <w:rFonts w:ascii="仿宋_GB2312" w:hAnsi="仿宋_GB2312" w:eastAsia="仿宋_GB2312"/>
          <w:b w:val="0"/>
          <w:sz w:val="32"/>
        </w:rPr>
        <w:t>12.住房保障支出（类）住房改革支出（款）住房公积金（项）：支出决算数为36.04万元，比上年决算减少0.64万元，下降1.74%，主要原因是：本年在职人员调入调出，人员职级不同，缴费基数不同，导致住房公积金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2025年度一般公共预算财政拨款基本支出494.97万元，其中：</w:t>
      </w:r>
      <w:r>
        <w:rPr>
          <w:rFonts w:ascii="仿宋_GB2312" w:hAnsi="仿宋_GB2312" w:eastAsia="仿宋_GB2312"/>
          <w:b/>
          <w:sz w:val="32"/>
        </w:rPr>
        <w:t>人员经费467.41万元，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公用经费27.57万元，</w:t>
      </w:r>
      <w:r>
        <w:rPr>
          <w:rFonts w:ascii="仿宋_GB2312" w:hAnsi="仿宋_GB2312" w:eastAsia="仿宋_GB2312"/>
          <w:b w:val="0"/>
          <w:sz w:val="32"/>
        </w:rPr>
        <w:t>包括：办公费、印刷费、邮电费、差旅费、劳务费、委托业务费、工会经费、福利费、公务用车运行维护费、其他交通费用、其他商品和服务支出。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2025年度财政拨款“三公”经费支出2.20万元，</w:t>
      </w:r>
      <w:r>
        <w:rPr>
          <w:rFonts w:ascii="仿宋_GB2312" w:hAnsi="仿宋_GB2312" w:eastAsia="仿宋_GB2312"/>
          <w:b w:val="0"/>
          <w:sz w:val="32"/>
        </w:rPr>
        <w:t>比上年减少2.00万元，下降47.62%，主要原因是：本年本单位公务用车调整至局机关，公务用车维护费较上年减少。</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公务用车购置及运行维护费支出2.20万元，占100.00%，比上年减少2.00万元，下降47.62%，主要原因是：本年本单位公务用车调整至局机关，公务用车维护费较上年减少。</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2.20万元，其中：公务用车购置费0.00万元，公务用车运行维护费2.20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2.20万元，决算数2.20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2.20万元，决算数2.20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人力资源和社会保障服务中心（行政单位和参照公务员法管理事业单位）机关运行经费支出27.57万元，比上年减少5.65万元，下降17.01%，主要原因是：本年度差旅费、公车运行维护费、维修（护）费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2025年度政府采购支出总额124.97万元，其中：政府采购货物支出8.63万元、政府采购工程支出0.00万元、政府采购服务支出116.34万元。</w:t>
      </w:r>
    </w:p>
    <w:p>
      <w:pPr>
        <w:spacing w:line="580" w:lineRule="exact"/>
        <w:ind w:firstLine="640"/>
        <w:jc w:val="both"/>
      </w:pPr>
      <w:r>
        <w:rPr>
          <w:rFonts w:ascii="仿宋_GB2312" w:hAnsi="仿宋_GB2312" w:eastAsia="仿宋_GB2312"/>
          <w:b w:val="0"/>
          <w:sz w:val="32"/>
        </w:rPr>
        <w:t>授予中小企业合同金额124.97万元，占政府采购支出总额的100.00%，其中：授予小微企业合同金额124.97万元，占政府采购支出总额的100.00%。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24.66平方米，价值6.11万元。车辆1辆，价值22.98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1,273.92万元，实际执行总额1,021.24万元；预算绩效评价项目7个，全年预算数535.37万元，全年执行数526.02万元。预算绩效管理取得的成效：一是建立健全工作机制。按照自治区财政厅全面实施预算绩效管理的安排部署，局主要领导亲自抓预算绩效管理工作，召开局长办公会、专题会议认真研究部署预算绩效管理工作。分管局领导指导、督促、落实绩效管理工作，研究提出具体措施办法，建立了上下协调、科室联动、层抓落实的工作机制；二是不断完善工作制度。认真研究学习，贯彻落实全面绩效管理的工作要求，结合我单位实际，完善用款计划管理，对发现的问题及时分析原因并纠正，建立了项目绩效跟踪机制。发现的问题及原因：一是对项目绩效过程还需加强监控，没有按计划完成预算资金的使用，前期没有对项目预算绩效进行科学评估，导致部分项目在实施中效果不理想；二是对绩效评价结果的应用还需强化，要加强与项目实施科室的沟通联系，随时了解项目进展情况，根据绩效评价情况安排资金，提高资金使用效率。下一步改进措施：一是强化绩效监控。按照预算编制、执行、绩效评价的工作要求，将全面实施预算绩效管理当作一项经常性、制度性的工作来抓；二是强化结果应用。要进一步强化绩效评价结果与预算安排挂钩机制，坚决做到将政策和项目支出预算绩效与项目资金安排挂钩，对绩效评价结果差的项目资金削减或取消。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昌吉回族自治州人力资源和社会保障服务中心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730.08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795.58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795.58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55.77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478.34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225.66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785.85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1,273.92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1,021.24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80.17%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8.02</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昌吉州政府工作报告》要求，昌吉州人社服务中心将紧盯区州党委、政府安排部署的重点工作，围绕《昌吉州人力资源和社会保障局2024年工作总结及2025年工作计划》开展以下工作：一是在职业技能等级评价提质增效专项行动中发掘和打造亮点工作，开展职业技能等级评价提质增效专项行动，完成技能人才职业技能等级认定任务，做好职业技能人才评价工作。二是组建劳动能力鉴定专家库，依法依规开展劳动能等级鉴定力鉴定，召开工伤劳动能力鉴定会和因病或非因公丧失劳动能力鉴定会。三是做好各类人事考试考务工作。2025年将组织19项国家级、自治区级各类人事考试考务工作，约服务考生14.6万人次。四是制定职称量化赋分标准，优化评审流程和赋分规则，开展“民营企业专项、自治州中、初级职称、乡镇职称、双定向”4项职称评审15场次，评审1500人。通过统筹推进我州人事人才工作，提升我州人才队伍的工作能力和业务素质，为我州经济发展提供人才保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1273.92万元，全年执行数1021.24万元，总预算执行率为80.17%。本年主要完成以下工作：积极做好职业技能职业技能评价服务工作，积极开展多种形式的专业技术人才职称评价工作，新增取得职业资格证书或职业技能等级证书5135人次；组织职称评审15场次（含组织开展自治州乡镇职称评审），参加各系列专业技术人员评审人数达1264人，为2615人次专业技术人员提供申报服务；2024年昌吉考区共完成18场考试的考务组织工作，服务考生13.4万人次；开展工伤伤残等级鉴定10场1394人次，因病或非因公劳动能力鉴定4场130人次。通过以上工作的实施使人事人才活力迸发，激励专业技术人员的工作热情，为社会提供各类人才的选拔。同时保障了职工按时拿到鉴定结论，及时享受工伤待遇。</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新增取得职业资格或技能等级证书劳动者数量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&gt;=5000人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昌吉州人社服务中心2025年工作计划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=5217人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组织职称评审会场次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昌吉州人社服务中心2025年工作计划、、《新疆维吾尔自治区职称评审管理办法》（新人社规〔2022〕6号）、《关于进一步做好民营企业职称工作的通知》（新人社发[2023]70号）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参加职称评审人数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&gt;=1500人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昌吉州人社服务中心2025年工作计划、《新疆维吾尔自治区职称评审管理办法》（新人社规〔2022〕6号）、《关于进一步做好民营企业职称工作的通知》（新人社发[2023]70号）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=1264人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8.43</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组织工伤劳动能力鉴定会次数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昌吉州人社服务中心2025年工作计划、《新疆维吾尔自治区劳动能力鉴定管理暂行办法》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组织因病或非因公丧失劳动能力鉴定会次数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昌吉州人社服务中心2025年工作计划、《新疆维吾尔自治区劳动能力鉴定管理暂行办法》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组织国家级、自治区级各类人事考试次数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&gt;=19次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昌吉州人社服务中心2025年工作计划、自治区专业技术职业资格考试工作计划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18.95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参加各类人事考试考生人次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&gt;=14.60万人次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昌吉州人社服务中心2025年工作计划、自治区专业技术职业资格考试工作计划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=13.37万人次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13.74</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事业单位公开招聘工作经费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组织实施事业单位公开招聘工作2次，资格审查人数2500人、面试不少于2500人的招聘工作。通过事业单位公开招聘以解决事业单位用人需求，提高全州事业单位人才层次梯次发展，达到用人单位、社会、考生“三满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80.9万元，资金执行率100%，本项目实际完成组织事业单位公开招聘2次，资格审查2551人，面试2511人；通过本项目的实施，加强了选人用人的程序规范与纪律约束，筑牢了公平公正底线，强化了政治标准和德才兼备导向，杜绝了萝卜招聘、绕道进人等违规问题；提升了选人用人质量和公信力，提高了招聘工作科学化专业化水平，增强了岗位与人才的适配精准度，也提升了事业单位人才队伍的整体素质；促进了高素质专业化事业单位人才队伍建设，为事业单位高质量发展夯实人才根基。</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组织事业单位公开招聘次数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资格审查人数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=2551人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-2.04%，偏差原因为：由于实际参加笔试的人数高于预算预估，故按照比例参加面试的人数亦高于面试预估人数，导致产生偏差；下一年度改进措施：持续深化流程优化，科学统筹工作安排，合理分配人力物力，以严谨细致的工作部署，全力保障项目任务按时、高质量落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面试人数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=2511人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100.44%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事业单位公开招聘考务保障差错率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事业单位公开招聘完成时间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笔试工作费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面试工作费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&lt;=78.55万元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解决事业单位用人需求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解决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解决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招聘单位满意度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目指标已完成，存在偏差，偏差率为-11.11%，偏差原因为：我单位在前期设定满意度指标时，为确保项目产出的安全性和底线思维，设定了招聘单位满意度≥90%的保守目标值，但在项目实施过程中，整体工作平稳运行，事业单位公开招聘考务保障容错率为0%，招聘单位满意度较高，故与实际完成值产生偏差；下一年度改进措施：总结本次项目的成功经验，在编制下一年度绩效目标时，结合实际执行能力，将满意度目标值适当上调，以此激励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劳动能力鉴定工作经费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昌吉州人力资源和社会保障服务中心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92.25%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职工工伤等级鉴定会10次；职工因病非因工劳动能力鉴定会4次；鉴定结论书送达件3200份；劳动能力鉴定档案的整理、扫描影像处理及图文挂接1720份。通过本项目的实施保障职工按时拿到鉴定结论，及时享受工伤待遇，保障因病丧失劳动能力职工及时享受病退待遇。方便申请人、代理人、用工企业、人民法院快捷查阅。</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26.2万元，资金执行率92.25%，本项目实际完成2025年共召开伤残等级（工伤）鉴定会10场次，召开职工非因工伤残或因病丧失劳动能力鉴定会4场次，共开展劳动能力鉴定档案整理、扫描摄像处理及图文挂接1833份，劳动能力鉴定档案完成率100%，通过邮寄方式对职工工伤与职业病致残等级鉴定人员以及单位邮寄《工伤职工劳动能力初次鉴定结论书》、非因工伤残或因病丧失劳动能力鉴定人员邮寄《因病或非因工致残人员丧失劳动能力初次鉴定结论书》共3100份；通过本项目的实施，保障了职工按时拿到鉴定结论，及时享受工伤待遇，保障了因病丧失劳动能力职工及时享受病退待遇，方便了申请人、代理人、用工企业、人民法院快捷查阅。</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职工工伤等级鉴定会次数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职工因病非因工劳动能力鉴定会次数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鉴定结论书送达件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&gt;=3200份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=3100份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96.88%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3.12%，偏差原因为：鉴定结论通知书，受劳动能力鉴定人数影响，本年度实际鉴定人数未达到3200人，故产生偏差；下一年度改进措施：后续申报过程中，将强化流程梳理与优化，精准把控任务分配，促进各环节紧密衔接，有效降低执行过程中的不确定性，确保申报目标顺利实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劳动能力鉴定档案的整理、扫描影像处理及图文挂接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&gt;=1720份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=1833份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6.54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-6.57%，偏差原因为：因2025年接收审计署对昌吉州工伤保险专项审计，对档案管理工作提出了更高的要求，故增加了档案的装订、扫描、归档的数量，产生了偏差；下一年度改进措施：在未来申报中，持续深化流程优化，科学统筹工作安排，合理分配人力物力，以严谨细致的工作部署，全力保障项目任务按时、高质量落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劳动能力鉴定档案整理验收合格率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本项目通过市场多方调查比较，在政采云上选择优质商家，档案整理工作认真细致，无差错，故导致偏差；下一年度改进措施：后续申报时，坚持精细化管理理念，优化工作流程设计，精准分配任务职责，强化各环节协同配合，全力提升项目执行的精准度与完成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鉴定工作完成期限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鉴定工作费用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11.11%，偏差原因为：1.因2025年共召开鉴定会14场次，受审计影响，邀请专家数量有所减少，故专家咨询费未按预期支付；2.因本年度鉴定职工在柜台领取文书的人数较多，实际产生邮政费用降低，故导致偏差；下一年度改进措施：针对后续申报任务，着力细化工作流程，合理统筹资源分配，建立健全协同推进机制，为项目高效完成筑牢基础，减少过程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劳动能力鉴定档案整理费用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保障职工按时拿到鉴定结论，及时享受工伤待遇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受益职工满意率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各类人事考试工作经费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117.96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98.30%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9.57</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117.96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根据自治区考务计划安排，拟完成18场次各类人事考试，昌吉考区约60000余人参加。通过规范考务工作，确保人事考试公平公正，真正实现公开公平公正选拔人才，为提高我州毕业生就业率和机关事业单位队伍建设，以及社会人员职业资格提升，提供坚强保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117.96万元，资金执行率98.3%，本项目实际完成18场国家级、自治区级各类考试的考务组织工作，其中：公务员考试4场，事业单位考试2场，资格类考试12场，参加考试人数60592人，均按自治区考试计划圆满完成考试任务。通过本项目的实施，以考代学，促进了就业群体的个人专业技能水平，同时也为用人单位选拔优秀人才提供了坚实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举办考试次数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参加考试人数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&gt;=60000人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=60592人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58000人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考务工作组织差错率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考务工作完成时间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考试工作费用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&lt;=113.16万元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11.76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54.93万元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偏差原因分析：本年度严格执行经费预算管理制度，对考场布置、物料印刷、考务补助等各项支出实行逐项审核、从严把控，杜绝不合理开支和浪费现象，有效压缩了非刚性支出，实现经费适度节约。 偏差改进措施：严格落实专款专用、先预算后支出原则，细化费用支出台账，对考务各项成本分类管控，进一步提升预算执行的精准度，兼顾工作保障质量与资金使用效益。</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租车费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&lt;=6.84万元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83.63%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偏差原因分析：规范化、科学化安排考务工作，合理调配工作人员，优化考务流程，减少冗余环节，降低了车辆后勤保障等临时性支出，整体费用控制在预算范围内并实现小幅结余。 偏差改进措施：下一年度结合历年实际支出数据、考试规模、市场价格变动情况，精准测算租车费用，提高预算编制的贴合度，缩小预算与实际执行偏差，提升预算精准性。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为用人单位选拔优秀人才，提升个人职业技能水平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考生单位满意度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四级联动视频会议系统使用及网络维护</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维护硬件设备55次，维护软件系统20次，单位网络及设备维护外包1项。该项目主要推动各级各项决策高效落实落地，从根本上解决我州人社系统赴乌来昌参会成本高问题，有效降低参会差旅、食宿及时间成本的同时，极大的提高了人社系统会议精神传达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万元，资金执行率100%，本项目实际完成维护软件系统20次，维护硬件设备55次，及时处理各种故障；通过本项目的实施，有效降低了参会差旅、食宿及时间成本的同时，极大的提高了人社系统会议精神传达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维护硬件设备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维护软件系统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故障处理时间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&lt;=2小时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=2小时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2小时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办公大楼网络和信息系统日常维护维修及设备采购、线路租赁等费用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单位网络及设备维护外包费用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信息传输的安全、效率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系统使用人员满意度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-6%，偏差原因为：本年由于工作比较细致，故系统使用人员满意率较高；下一年度改进措施：后续申报过程中，将强化流程梳理与优化，精准把控任务分配，促进各环节紧密衔接，有效降低执行过程中的不确定性，确保申报目标顺利实现。</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23.64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23.64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通过招纳公益岗工作人员1名，发挥其“托底线、救急难、临时性”属性，为就业困难人员和通过市场渠道确实无法实现转移就业的建档立卡贫困家庭劳动力提供就业岗位。2.为更好完成援疆工作，本单位援疆干部1人，结合其援疆干部个人工作补助经费，开展对接工作1次，解决援疆干部工作及保障个人生活方面的开支，同时开展各种互动活动，促进闽昌交流。</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23.64万元，资金执行率100%，本项目开展对接工作1次，解决援疆干部个人生活需求，以及支持单位公用经费的不足；通过本项目的实施，加强了援疆干部队伍的稳定性，提升了援疆工作效能与积极性，促进了援疆工作长效机制建设。</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安置公益岗人员人数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为：公益岗人员因生育原因于3月底辞职，故产生偏差；下一年度改进措施：后续申报过程中，将强化流程梳理与优化，精准把控任务分配，促进各环节紧密衔接，有效降低执行过程中的不确定性，确保申报目标顺利实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开展对接工作次数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本年度援疆干部在工作中表现优秀，积极主动完成各项工作，本年赴州外开展对接工作1次。对其保障覆盖率达100%，导致偏差；下一年度改进措施：在后续项目申报过程中细化实施方案编制工作流程，将全年工作任务合理分配至各时段，提高对援疆工作保障覆盖率，减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公益岗人员工资支付时间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援疆人员工作经费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公益岗人员补助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对本年单位办公经费的有益补充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补充</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补充</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本年度结合项目实际情况，针对援疆干部定期跟踪其工作进展、需求诉求，及时提供工作支持与生活保障，故援疆干部人员满意度提升，导致偏差；下一年度改进措施：在后续项目申报过程中细化实施方案编制工作流程，制定优化措施，改进项目管理工作，不断提升项目管理水平与绩效质量，确保项目平稳推进，保障绩效目标稳定达成，减少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考试工作经费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201.77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201.77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201.77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根据自治区考务计划安排，拟完成18场次各类人事考试组织工作，各类人事考试昌吉考区约60000余人参加。通过规范考务工作，确保人事考试公平公正，真正实现公开公平公正选拔人才，为提高我州毕业生就业率和机关事业单位队伍建设，以及社会人员职业资格提升，提供坚强保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201.77万元，资金执行率100%，本项目实际完成18场国家级、自治区级各类考试的考务组织工作，其中：公务员考试4场，事业单位考试2场，资格类考试12场，参加考试人数60592人，均按自治区考试计划圆满完成考试任务。通过本项目的实施，以考代学，促进了就业群体的个人专业技能水平，同时也为用人单位选拔优秀人才提供了坚实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举办考试次数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&gt;=18次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参加考试人数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&gt;=60000人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=60592人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58000人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考务工作组织差错率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考务工作完成时间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巡考人员考务工作费用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监考人员考务费及其他费用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&lt;=152.69万元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=152.69万元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为用人单位选拔优秀人才，提升个人职业技能水平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自治州专业技术人员职称评审工作经费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昌吉州人力资源和社会保障服务中心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昌吉回族自治州人力资源和社会保障服务中心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7.96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预计组织评审会评审各系列、各级别职称1200人次以上。组织评审会15场次，完成对各县（市）、园区的职称评审业务指导及政策宣传。通过该项目的实施，提高从业队伍整体素质。专业技术人员的满意率不低与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57.55万元，资金执行率91.84%，本项目实际完成15场次1264人的职称评审工作；通过本项目的实施，一是激励了专业技术人员提升能力，激发积极性和创造力；二是优化了人才资源配置，有助于推动专业技术人员的流动和交流；三是提升了行业整体水平，发挥专业技术人员的引领和示范作用，带动整个行业的技术水平的提升；四是完善了人才评价体系，推动专业技术人员的职业化发展，提升社会地位和职业荣誉感。</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参加各系列专业技术人员人数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=1264人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-5.33%，偏差原因为：本年职称政策宣传力度加大，专业技术人员申报积极性提高，故导致偏差；下一年度改进措施：后续申报过程中，将强化流程梳理与优化，精准把控任务分配，促进各环节紧密衔接，有效降低执行过程中的不确定性，确保申报目标顺利实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组织评审会场次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此项指标未完成，存在偏差，偏差率为XX%，偏差原因为：XXXX；下一年度改进措施：XXXX。</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评审工作完成率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此项指标未完成，存在偏差，偏差率为XX%，偏差原因为：XXXX；下一年度改进措施：XXXX。</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评审工作完成期限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12月18日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此项指标未完成，存在偏差，偏差率为XX%，偏差原因为：XXXX；下一年度改进措施：XXXX。</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2025年评审费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&lt;=42.26万元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=37.85万元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偏差原因为：本年自治州专业技术人员职称评审工作由于增加评审专家人数，缩短评审时间，节约了专家食宿费用，故产生偏差；下一年度改进措施：后续申报时，坚持精细化管理理念，优化工作流程设计，精准分配任务职责，强化各环节协同配合，全力提升项目执行的精准度与完成率。。</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&lt;=0.90万元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=0.67万元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74.44%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25.56%，偏差原因为：由于坚持厉行节约原则，减少不必要的评审办公开支，所以产生偏差；下一年度改进措施：后续申报工作将全面梳理工作流程，优化任务分工体系，均衡配置各类资源，通过标准化、规范化的执行方式，切实提升项目执行成效，降低偏差风险。。</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2024年评审工作尾款支付费用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此项指标未完成，存在偏差，偏差率为2.41%，偏差原因为： 2024年职称评审后期，因评审专家人数减少，缩减了评审劳务费；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提高从业队伍整体素质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专业技术人员的满意率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=92.06%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102.22%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-2.22%，偏差原因为：本年度优化了职称评审答辩等程序，提高了评审精准程度，故专业技术人员满意度提升，导致偏差；下一年度改进措施：在后续项目申报过程中细化实施方案编制工作流程，将全年工作任务合理分配至各时段，确保工作按期及时完成，减少偏差。</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