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昌吉回族自治州青少年活动中心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1、运用各种文化艺术手段，寓教于乐，对青少年儿童进行共产主义教育、文化科学知识教育、生产劳动教育及体育、美育等方面的业余教育。</w:t>
      </w:r>
    </w:p>
    <w:p>
      <w:pPr>
        <w:spacing w:line="580" w:lineRule="exact"/>
        <w:ind w:firstLine="640"/>
        <w:jc w:val="both"/>
      </w:pPr>
      <w:r>
        <w:rPr>
          <w:rFonts w:ascii="仿宋_GB2312" w:hAnsi="仿宋_GB2312" w:eastAsia="仿宋_GB2312"/>
          <w:sz w:val="32"/>
        </w:rPr>
        <w:t>2、以社会效益、人才效益为主导，在保证社会效益的前提下，努力实现社会效益、经济效益和人才效益的有机统一。</w:t>
      </w:r>
    </w:p>
    <w:p>
      <w:pPr>
        <w:spacing w:line="580" w:lineRule="exact"/>
        <w:ind w:firstLine="640"/>
        <w:jc w:val="both"/>
      </w:pPr>
      <w:r>
        <w:rPr>
          <w:rFonts w:ascii="仿宋_GB2312" w:hAnsi="仿宋_GB2312" w:eastAsia="仿宋_GB2312"/>
          <w:sz w:val="32"/>
        </w:rPr>
        <w:t>3、通过青少年活动中心和校内外开展形式多样、内容丰富的兴趣培训班、科普活动班、青少年军警校、法制税校、春夏秋冬令营等，丰富青少年儿童的生活，发展对他们科学、技术、体育、艺术等方面的兴趣和创造才能，为培养社会主义合格的接班人创造良好的学习环境。</w:t>
      </w:r>
    </w:p>
    <w:p>
      <w:pPr>
        <w:spacing w:line="580" w:lineRule="exact"/>
        <w:ind w:firstLine="640"/>
        <w:jc w:val="both"/>
      </w:pPr>
      <w:r>
        <w:rPr>
          <w:rFonts w:ascii="仿宋_GB2312" w:hAnsi="仿宋_GB2312" w:eastAsia="仿宋_GB2312"/>
          <w:sz w:val="32"/>
        </w:rPr>
        <w:t>4、组织自治州青少年儿童与州内外青少年儿童的交流与学习，组织参加全国、区、州大赛，增进地区间青少年儿童的了解与友谊。</w:t>
      </w:r>
    </w:p>
    <w:p>
      <w:pPr>
        <w:spacing w:line="580" w:lineRule="exact"/>
        <w:ind w:firstLine="640"/>
        <w:jc w:val="both"/>
      </w:pPr>
      <w:r>
        <w:rPr>
          <w:rFonts w:ascii="仿宋_GB2312" w:hAnsi="仿宋_GB2312" w:eastAsia="仿宋_GB2312"/>
          <w:sz w:val="32"/>
        </w:rPr>
        <w:t>5、指导各县市青少年活动中心（青少年宫）的工作。</w:t>
      </w:r>
    </w:p>
    <w:p>
      <w:pPr>
        <w:spacing w:line="580" w:lineRule="exact"/>
        <w:ind w:firstLine="640"/>
        <w:jc w:val="both"/>
      </w:pPr>
      <w:r>
        <w:rPr>
          <w:rFonts w:ascii="仿宋_GB2312" w:hAnsi="仿宋_GB2312" w:eastAsia="仿宋_GB2312"/>
          <w:sz w:val="32"/>
        </w:rPr>
        <w:t>6、承办昌吉州青少年活动中心交办的各项工作。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昌吉回族自治州青少年活动中心无下属预算单位。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2025年度收入总计205.82万元，</w:t>
      </w:r>
      <w:r>
        <w:rPr>
          <w:rFonts w:ascii="仿宋_GB2312" w:hAnsi="仿宋_GB2312" w:eastAsia="仿宋_GB2312"/>
          <w:b w:val="0"/>
          <w:sz w:val="32"/>
        </w:rPr>
        <w:t>其中：本年收入合计169.95万元，使用非财政拨款结余（含专用结余）35.88万元，年初结转和结余0.00万元。</w:t>
      </w:r>
    </w:p>
    <w:p>
      <w:pPr>
        <w:spacing w:line="580" w:lineRule="exact"/>
        <w:ind w:firstLine="640"/>
        <w:jc w:val="both"/>
      </w:pPr>
      <w:r>
        <w:rPr>
          <w:rFonts w:ascii="仿宋_GB2312" w:hAnsi="仿宋_GB2312" w:eastAsia="仿宋_GB2312"/>
          <w:b/>
          <w:sz w:val="32"/>
        </w:rPr>
        <w:t>2025年度支出总计205.82万元，</w:t>
      </w:r>
      <w:r>
        <w:rPr>
          <w:rFonts w:ascii="仿宋_GB2312" w:hAnsi="仿宋_GB2312" w:eastAsia="仿宋_GB2312"/>
          <w:b w:val="0"/>
          <w:sz w:val="32"/>
        </w:rPr>
        <w:t>其中：本年支出合计162.53万元，结余分配0.00万元，年末结转和结余43.29万元。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增加26.72万元，增长14.92%，主要原因是：本年在职人员增加，在职人员工资调增、社保基数调增，人员经费增加。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本年收入169.95万元，</w:t>
      </w:r>
      <w:r>
        <w:rPr>
          <w:rFonts w:ascii="仿宋_GB2312" w:hAnsi="仿宋_GB2312" w:eastAsia="仿宋_GB2312"/>
          <w:b w:val="0"/>
          <w:sz w:val="32"/>
        </w:rPr>
        <w:t>其中：财政拨款收入106.82万元，占62.85%；上级补助收入0.00万元，占0.00%；事业收入0.00万元，占0.00%；经营收入0.00万元，占0.00%；附属单位上缴收入0.00万元，占0.00%；其他收入63.13万元，占37.15%。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本年支出162.53万元，</w:t>
      </w:r>
      <w:r>
        <w:rPr>
          <w:rFonts w:ascii="仿宋_GB2312" w:hAnsi="仿宋_GB2312" w:eastAsia="仿宋_GB2312"/>
          <w:b w:val="0"/>
          <w:sz w:val="32"/>
        </w:rPr>
        <w:t>其中：基本支出126.66万元，占77.93%；项目支出35.88万元，占22.08%；上缴上级支出0.00万元，占0.00%；经营支出0.00万元，占0.00%；对附属单位补助支出0.00万元，占0.00%。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2025年度财政拨款收入总计106.82万元，</w:t>
      </w:r>
      <w:r>
        <w:rPr>
          <w:rFonts w:ascii="仿宋_GB2312" w:hAnsi="仿宋_GB2312" w:eastAsia="仿宋_GB2312"/>
          <w:b w:val="0"/>
          <w:sz w:val="32"/>
        </w:rPr>
        <w:t>其中：年初财政拨款结转和结余0.00万元，本年财政拨款收入106.82万元。</w:t>
      </w:r>
      <w:r>
        <w:rPr>
          <w:rFonts w:ascii="仿宋_GB2312" w:hAnsi="仿宋_GB2312" w:eastAsia="仿宋_GB2312"/>
          <w:b/>
          <w:sz w:val="32"/>
        </w:rPr>
        <w:t>财政拨款支出总计106.82万元，</w:t>
      </w:r>
      <w:r>
        <w:rPr>
          <w:rFonts w:ascii="仿宋_GB2312" w:hAnsi="仿宋_GB2312" w:eastAsia="仿宋_GB2312"/>
          <w:b w:val="0"/>
          <w:sz w:val="32"/>
        </w:rPr>
        <w:t>其中：年末财政拨款结转和结余0.00万元，本年财政拨款支出106.82万元。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增加10.02万元，增长10.35%，主要原因是：本年在职人员增加，在职人员工资调增、社保基数调增，人员经费增加。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年初预算数79.03万元，决算数106.82万元，预决算差异率35.16%，主要原因是：本年在职人员增加，年中追加人员经费及人员工资、社保基数调增部分资金，导致预决算存在差异。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群众团体事务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按照支出功能分类，一般公共服务支出（类）群众团体事务（款）事业运行（项）的支出占本年财政拨款支出总额的比重最高，2025年度决算数为72.25万元，占比67.64%，主要用于人员工资福利、日常公用经费。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2025年度一般公共预算财政拨款支出106.82万元，</w:t>
      </w:r>
      <w:r>
        <w:rPr>
          <w:rFonts w:ascii="仿宋_GB2312" w:hAnsi="仿宋_GB2312" w:eastAsia="仿宋_GB2312"/>
          <w:b w:val="0"/>
          <w:sz w:val="32"/>
        </w:rPr>
        <w:t>占本年支出合计的65.72%。</w:t>
      </w:r>
      <w:r>
        <w:rPr>
          <w:rFonts w:ascii="仿宋_GB2312" w:hAnsi="仿宋_GB2312" w:eastAsia="仿宋_GB2312"/>
          <w:b/>
          <w:sz w:val="32"/>
        </w:rPr>
        <w:t>与上年相比，</w:t>
      </w:r>
      <w:r>
        <w:rPr>
          <w:rFonts w:ascii="仿宋_GB2312" w:hAnsi="仿宋_GB2312" w:eastAsia="仿宋_GB2312"/>
          <w:b w:val="0"/>
          <w:sz w:val="32"/>
        </w:rPr>
        <w:t>增加10.02万元，增长10.35%，主要原因是：本年在职人员增加，在职人员工资调增、社保、公积金基数调增，人员经费增加。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年初预算数79.03万元，决算数106.82万元，预决算差异率35.16%，主要原因是：本年在职人员增加，年中追加人员经费及人员工资、社保基数调增部分资金，导致预决算存在差异。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1.一般公共服务支出（类）72.25万元，占67.64%。</w:t>
      </w:r>
    </w:p>
    <w:p>
      <w:pPr>
        <w:spacing w:line="580" w:lineRule="exact"/>
        <w:ind w:firstLine="640"/>
        <w:jc w:val="both"/>
      </w:pPr>
      <w:r>
        <w:rPr>
          <w:rFonts w:ascii="仿宋_GB2312" w:hAnsi="仿宋_GB2312" w:eastAsia="仿宋_GB2312"/>
          <w:b w:val="0"/>
          <w:sz w:val="32"/>
        </w:rPr>
        <w:t>2.社会保障和就业支出（类）16.18万元，占15.15%。</w:t>
      </w:r>
    </w:p>
    <w:p>
      <w:pPr>
        <w:spacing w:line="580" w:lineRule="exact"/>
        <w:ind w:firstLine="640"/>
        <w:jc w:val="both"/>
      </w:pPr>
      <w:r>
        <w:rPr>
          <w:rFonts w:ascii="仿宋_GB2312" w:hAnsi="仿宋_GB2312" w:eastAsia="仿宋_GB2312"/>
          <w:b w:val="0"/>
          <w:sz w:val="32"/>
        </w:rPr>
        <w:t>3.卫生健康支出（类）9.50万元，占8.89%。</w:t>
      </w:r>
    </w:p>
    <w:p>
      <w:pPr>
        <w:spacing w:line="580" w:lineRule="exact"/>
        <w:ind w:firstLine="640"/>
        <w:jc w:val="both"/>
      </w:pPr>
      <w:r>
        <w:rPr>
          <w:rFonts w:ascii="仿宋_GB2312" w:hAnsi="仿宋_GB2312" w:eastAsia="仿宋_GB2312"/>
          <w:b w:val="0"/>
          <w:sz w:val="32"/>
        </w:rPr>
        <w:t>4.住房保障支出（类）8.89万元，占8.32%。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1.一般公共服务支出（类）群众团体事务（款）事业运行（项）：支出决算数为72.25万元，比上年决算增加8.17万元，增长12.75%，主要原因是：本年新增在职人员，人员经费增加，导致经费较上年有所增加。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2.社会保障和就业支出（类）行政事业单位养老支出（款）事业单位离退休（项）：支出决算数为0.09万元，比上年决算增加0.00万元，增长0.00%，主要原因是：本年事业单位离退休经费较上年支出无变化。</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10.73万元，比上年决算减少0.73万元，下降6.37%，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5.36万元，比上年决算减少0.37万元，下降6.46%，主要原因是：本年在职人员调入调出，按月实缴，机关事业单位职业年金缴费支出总体同比减少，变动属于结构性调整。</w:t>
      </w:r>
    </w:p>
    <w:p>
      <w:pPr>
        <w:spacing w:line="580" w:lineRule="exact"/>
        <w:ind w:firstLine="640"/>
        <w:jc w:val="both"/>
      </w:pPr>
      <w:r>
        <w:rPr>
          <w:rFonts w:ascii="仿宋_GB2312" w:hAnsi="仿宋_GB2312" w:eastAsia="仿宋_GB2312"/>
          <w:b w:val="0"/>
          <w:sz w:val="32"/>
        </w:rPr>
        <w:t>5.卫生健康支出（类）行政事业单位医疗（款）事业单位医疗（项）：支出决算数为6.57万元，比上年决算增加0.84万元，增长14.66%，主要原因是：本年在职人员增加，事业单位医疗支出较上年增加。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6.卫生健康支出（类）行政事业单位医疗（款）公务员医疗补助（项）：支出决算数为2.77万元，比上年决算增加2.41万元，增长669.44%，主要原因是：本年在职人员增加，公务员医疗补助较上年增加。</w:t>
      </w:r>
    </w:p>
    <w:p>
      <w:pPr>
        <w:spacing w:line="580" w:lineRule="exact"/>
        <w:ind w:firstLine="640"/>
        <w:jc w:val="both"/>
      </w:pPr>
      <w:r>
        <w:rPr>
          <w:rFonts w:ascii="仿宋_GB2312" w:hAnsi="仿宋_GB2312" w:eastAsia="仿宋_GB2312"/>
          <w:b w:val="0"/>
          <w:sz w:val="32"/>
        </w:rPr>
        <w:t>7.卫生健康支出（类）行政事业单位医疗（款）其他行政事业单位医疗支出（项）：支出决算数为0.15万元，比上年决算增加0.10万元，增长200.00%，主要原因是：本年在职人员增加，大病医疗保险支出较上年增加。</w:t>
      </w:r>
    </w:p>
    <w:p>
      <w:pPr>
        <w:spacing w:line="580" w:lineRule="exact"/>
        <w:ind w:firstLine="640"/>
        <w:jc w:val="both"/>
      </w:pPr>
      <w:r>
        <w:rPr>
          <w:rFonts w:ascii="仿宋_GB2312" w:hAnsi="仿宋_GB2312" w:eastAsia="仿宋_GB2312"/>
          <w:b w:val="0"/>
          <w:sz w:val="32"/>
        </w:rPr>
        <w:t>8.住房保障支出（类）住房改革支出（款）住房公积金（项）：支出决算数为8.89万元，比上年决算减少0.41万元，下降4.41%，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2025年度一般公共预算财政拨款基本支出106.82万元，其中：</w:t>
      </w:r>
      <w:r>
        <w:rPr>
          <w:rFonts w:ascii="仿宋_GB2312" w:hAnsi="仿宋_GB2312" w:eastAsia="仿宋_GB2312"/>
          <w:b/>
          <w:sz w:val="32"/>
        </w:rPr>
        <w:t>人员经费105.79万元，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w:t>
      </w:r>
    </w:p>
    <w:p>
      <w:pPr>
        <w:spacing w:line="580" w:lineRule="exact"/>
        <w:ind w:firstLine="640"/>
        <w:jc w:val="both"/>
      </w:pPr>
      <w:r>
        <w:rPr>
          <w:rFonts w:ascii="仿宋_GB2312" w:hAnsi="仿宋_GB2312" w:eastAsia="仿宋_GB2312"/>
          <w:b/>
          <w:sz w:val="32"/>
        </w:rPr>
        <w:t>公用经费1.03万元，</w:t>
      </w:r>
      <w:r>
        <w:rPr>
          <w:rFonts w:ascii="仿宋_GB2312" w:hAnsi="仿宋_GB2312" w:eastAsia="仿宋_GB2312"/>
          <w:b w:val="0"/>
          <w:sz w:val="32"/>
        </w:rPr>
        <w:t>包括：办公费、福利费、其他商品和服务支出。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2025年度昌吉回族自治州青少年活动中心（事业单位）公用经费支出1.03万元，比上年减少0.33万元，下降24.26%，主要原因是：严控经费支出，厉行节约，减少办公费、福利费支出。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2025年度政府采购支出总额14.52万元，其中：政府采购货物支出1.58万元、政府采购工程支出0.00万元、政府采购服务支出12.94万元。</w:t>
      </w:r>
    </w:p>
    <w:p>
      <w:pPr>
        <w:spacing w:line="580" w:lineRule="exact"/>
        <w:ind w:firstLine="640"/>
        <w:jc w:val="both"/>
      </w:pPr>
      <w:r>
        <w:rPr>
          <w:rFonts w:ascii="仿宋_GB2312" w:hAnsi="仿宋_GB2312" w:eastAsia="仿宋_GB2312"/>
          <w:b w:val="0"/>
          <w:sz w:val="32"/>
        </w:rPr>
        <w:t>授予中小企业合同金额14.52万元，占政府采购支出总额的100.00%，其中：授予小微企业合同金额14.52万元，占政府采购支出总额的100.00%。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205.82万元，实际执行总额162.53万元；预算绩效评价项目1个，全年预算数33.17万元，全年执行数33.17万元。预算绩效管理取得的成效：一是通过单位项目资金的实施，组织开展青少年丰富多彩的校外教育活动，切实把活动公益性、趣味性原则落到实处，做好青少年活动的组织管理，让更多的学生走入校外活动中心接受教育。二是通过绩效目标的实施，不断提高学生的综合素质，开展科技、劳动社团建设工作，不断丰富学生课外实践活动内容。发现的问题及原因：一是参加中心举办快乐假期活动的学生偏少，家长对快乐假期活动缺乏了解，送孩子参加活动的愿望不强烈，导致快乐假期活动覆盖面偏窄，影响活动质量。二是由于中心活动基本安排在周末、寒暑假时间段，聘请教师存在一定的难度，很难安排水平较高的教师负责授课工作，导致课程缺乏对家长和学生的吸引力，从而影响活动质量。下一步改进措施：一是继续完善运行机制，增强服务能力，提供最佳服务。青少年校外活动是学校工作的有效延伸，同学校有着密不可分的关系。在平时的工作中，定期和各个学校联系，相互协作，相互配合，共同为青少年的成长服务，使学校教育在这里得到有力地补充与强化。进一步增强服务意识，改善服务方式，提高服务质量和能力，扩大服务范围和项目。二是更新校外教育工作理念，把握机遇，结合实际选好校外活动项目，积极组织学生研学实践活动，办好校外教育，形成校外与校内教育的联动，优势互补，促进学生全面发展，共同进步。三是加强宣传，进一步扩大社会影响，优化服务理念，提高质量和水平。经常了解青少年学生的需求，了解广大家长的呼声，加强与家长和社会的沟通，广泛征求意见和建议，促进中心的健康和谐发展。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昌吉回族自治州青少年活动中心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205.82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青少年活动中心始终坚持公益性原则，发挥引领服务少年儿童的职能，在继承和发扬优良传统的同时，坚持实事求是、与时俱进、勇于探索、大胆创新，针对当代少年儿童的主体意识、参与意识日益增强的特点，寻求新的工作方法，构筑新的活动载体，充分调动少年儿童的内在积极性，为促进少年儿童全面发展、提高思想道德和科学文化素质、开展文化交流、组织校外活动提供良好的平台和场所。因此我单位计划本年度持续开展青少年艺术培训班，“行走的思政课”等一系列活动，同时为了丰富课程种类将聘用2名新的教师，新增课程，丰富少年儿童的生活，发展他们对科学、技术、体育、艺术等方面的兴趣和创造才能，为培养社会合格的接班人创造良好的学习环境。</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 205.82万元，全年执行数为162.53万元，总预算执行率为78.97% 。2025年我单位完成以下工作内容：1 深耕艺术培训，落实年度培训人次800余人，新增1种艺术课程，优化课程体系，拓宽青少年艺术学习途径；2 强化师资建设，配齐授课教师，覆盖5种以上专业，健全教师管理培训机制，提升教学质量；3 深化思想引领，开展“行走的思政课”，融合艺术实践与思政教育，铸牢青少年理想信念；4 抓实安全运维，常态化排查安全隐患，规范日常管理，保证各项工作有序开展。通过以上工作，有效丰富青少年艺术教育供给，夯实教学根基，强化思想育人成效，筑牢安全防线，推动单位艺术培训和思政教育提质增效。</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2025年参加昌吉州青少年活动中心艺术培训班总人次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&gt;=400人次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《新疆维吾尔自治区青年发展规划》、昌吉州青少年活动中心2025年重点工作计划清单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879人次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开展“行走的思政课”活动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《新疆维吾尔自治区青年发展规划》、昌吉州青少年活动中心2025年重点工作计划清单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各类艺术培训班聘用教师人数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《新疆维吾尔自治区青年发展规划》、昌吉州青少年活动中心2025年重点工作计划清单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开设艺术培训班种类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《新疆维吾尔自治区青年发展规划》、昌吉州青少年活动中心2025年重点工作计划清单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新增艺术培训班课程种类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《新疆维吾尔自治区青年发展规划》、昌吉州青少年活动中心2025年重点工作计划清单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中国共产主义青年团昌吉回族自治州委员会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昌吉回族自治州青少年活动中心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保障单位正常运转，确保各类艺术培训正常进行。保障各班培训开展人数6人以上；保障办公人员数量7人；保障单位运转，提升服务质量。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33.03万元，资金执行率99.58%，保障了各班培训人数6人以上，办公人员数量7人。本项目全年有序开展寒假、春季、暑期两期、秋季共五期兴趣班，组织开展“冬游天山别样暖”滑雪营、“春之颂”草坪音乐节、北京、山西研学营各类活动，覆盖青少年超1300人次；通过本项目的实施，加强了校内外教育的有效衔接与青少年素质培育体系建设，提升了青少年综合素质与实践能力培养的水平，促进了青少年德、智、体、美、劳全面发展和个性特长的充分彰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保障各班培训开展人数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培训教师劳务发放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保障单位运转，提升服务质量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单位职工满意率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完成，偏差为11.11%，偏差原因为年初设置保守，实际实施情况较好，满意度达100%，超过预期完成；改进措施：总结本次项目的成功经验，在编制下一年度绩效目标时，结合实际执行能力，将满意度目标值适当上调。</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