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昌吉回族自治州科学技术协会</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bookmarkStart w:id="0" w:name="_GoBack"/>
      <w:bookmarkEnd w:id="0"/>
      <w:r>
        <w:rPr>
          <w:rFonts w:hint="eastAsia" w:ascii="方正小标宋_GBK" w:hAnsi="宋体" w:eastAsia="方正小标宋_GBK"/>
          <w:sz w:val="44"/>
          <w:szCs w:val="44"/>
        </w:rPr>
        <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r>
        <w:br w:type="page"/>
      </w:r>
    </w:p>
    <w:p>
      <w:pPr>
        <w:spacing w:line="640" w:lineRule="exact"/>
        <w:jc w:val="center"/>
        <w:outlineLvl w:val="1"/>
      </w:pPr>
      <w:r>
        <w:rPr>
          <w:rFonts w:ascii="黑体" w:hAnsi="黑体" w:eastAsia="黑体"/>
          <w:sz w:val="32"/>
        </w:rPr>
        <w:t>第一部分 单位概况</w:t>
      </w:r>
    </w:p>
    <w:p>
      <w:pPr>
        <w:spacing w:line="640" w:lineRule="exact"/>
        <w:ind w:firstLine="640"/>
        <w:jc w:val="both"/>
        <w:outlineLvl w:val="2"/>
      </w:pPr>
      <w:r>
        <w:rPr>
          <w:rFonts w:ascii="黑体" w:hAnsi="黑体" w:eastAsia="黑体"/>
          <w:sz w:val="32"/>
        </w:rPr>
        <w:t>一、主要职能</w:t>
      </w:r>
    </w:p>
    <w:p>
      <w:pPr>
        <w:spacing w:line="580" w:lineRule="exact"/>
        <w:ind w:firstLine="640"/>
        <w:jc w:val="both"/>
      </w:pPr>
      <w:r>
        <w:rPr>
          <w:rFonts w:ascii="仿宋_GB2312" w:hAnsi="仿宋_GB2312" w:eastAsia="仿宋_GB2312"/>
          <w:sz w:val="32"/>
        </w:rPr>
        <w:t>依照《中华人民共和国科学技术普及法》，普及科学技术知识，倡导科学方法，传播科学思想，弘扬科学精神，提高全民科学素质；开展学术交流，活跃学术思想，促进学科发展，推动自主创新；组织科学技术工作者为建立以企业为主体的技术创新体系，全面提升企业的自主创新能力作贡献；反映科学技术工作者的建议、意见和诉求，维护科学技术工作者的合法权益；捍卫科学尊严，促进学术道德建设和学风建设；组织科学技术工作者参与科学技术发展规划、政策法规制定和有关事务的政治协商、科学决策、民主监督工作；表彰奖励优秀科学技术工作者，举荐人才；开展科学论证、咨询服务，提出政策建议，促进科学技术成果的转化；接受委托承担项目研究、项目评估、成果鉴定，参与技术标准制定、专业技术资格评审和认证等工作；加强与区内外学术团体的科学技术交流；开展继续教育和培训工作。</w:t>
      </w:r>
    </w:p>
    <w:p>
      <w:pPr>
        <w:spacing w:line="640" w:lineRule="exact"/>
        <w:ind w:firstLine="640"/>
        <w:jc w:val="both"/>
        <w:outlineLvl w:val="2"/>
      </w:pPr>
      <w:r>
        <w:rPr>
          <w:rFonts w:ascii="黑体" w:hAnsi="黑体" w:eastAsia="黑体"/>
          <w:sz w:val="32"/>
        </w:rPr>
        <w:t>二、机构设置</w:t>
      </w:r>
    </w:p>
    <w:p>
      <w:pPr>
        <w:spacing w:line="580" w:lineRule="exact"/>
        <w:ind w:firstLine="640"/>
        <w:jc w:val="both"/>
      </w:pPr>
      <w:r>
        <w:rPr>
          <w:rFonts w:ascii="仿宋_GB2312" w:hAnsi="仿宋_GB2312" w:eastAsia="仿宋_GB2312"/>
          <w:sz w:val="32"/>
        </w:rPr>
        <w:t>昌吉回族自治州科学技术协会无下属预算单位。</w:t>
      </w:r>
    </w:p>
    <w:p>
      <w:r>
        <w:br w:type="page"/>
      </w:r>
    </w:p>
    <w:p>
      <w:pPr>
        <w:spacing w:line="240" w:lineRule="auto"/>
        <w:jc w:val="center"/>
        <w:outlineLvl w:val="1"/>
      </w:pPr>
      <w:r>
        <w:rPr>
          <w:rFonts w:ascii="黑体" w:hAnsi="黑体" w:eastAsia="黑体"/>
          <w:sz w:val="32"/>
        </w:rPr>
        <w:t>第二部分 部门决算情况说明</w:t>
      </w:r>
    </w:p>
    <w:p>
      <w:pPr>
        <w:spacing w:line="640" w:lineRule="exact"/>
        <w:ind w:firstLine="640"/>
        <w:jc w:val="both"/>
        <w:outlineLvl w:val="2"/>
      </w:pPr>
      <w:r>
        <w:rPr>
          <w:rFonts w:ascii="黑体" w:hAnsi="黑体" w:eastAsia="黑体"/>
          <w:sz w:val="32"/>
        </w:rPr>
        <w:t>一、收入支出决算总体情况说明</w:t>
      </w:r>
    </w:p>
    <w:p>
      <w:pPr>
        <w:spacing w:line="580" w:lineRule="exact"/>
        <w:ind w:firstLine="640"/>
        <w:jc w:val="both"/>
      </w:pPr>
      <w:r>
        <w:rPr>
          <w:rFonts w:ascii="仿宋_GB2312" w:hAnsi="仿宋_GB2312" w:eastAsia="仿宋_GB2312"/>
          <w:b/>
          <w:sz w:val="32"/>
        </w:rPr>
        <w:t>2025年度收入总计639.45万元，</w:t>
      </w:r>
      <w:r>
        <w:rPr>
          <w:rFonts w:ascii="仿宋_GB2312" w:hAnsi="仿宋_GB2312" w:eastAsia="仿宋_GB2312"/>
          <w:b w:val="0"/>
          <w:sz w:val="32"/>
        </w:rPr>
        <w:t>其中：本年收入合计613.99万元，使用非财政拨款结余（含专用结余）0.00万元，年初结转和结余25.46万元。</w:t>
      </w:r>
    </w:p>
    <w:p>
      <w:pPr>
        <w:spacing w:line="580" w:lineRule="exact"/>
        <w:ind w:firstLine="640"/>
        <w:jc w:val="both"/>
      </w:pPr>
      <w:r>
        <w:rPr>
          <w:rFonts w:ascii="仿宋_GB2312" w:hAnsi="仿宋_GB2312" w:eastAsia="仿宋_GB2312"/>
          <w:b/>
          <w:sz w:val="32"/>
        </w:rPr>
        <w:t>2025年度支出总计639.45万元，</w:t>
      </w:r>
      <w:r>
        <w:rPr>
          <w:rFonts w:ascii="仿宋_GB2312" w:hAnsi="仿宋_GB2312" w:eastAsia="仿宋_GB2312"/>
          <w:b w:val="0"/>
          <w:sz w:val="32"/>
        </w:rPr>
        <w:t>其中：本年支出合计625.09万元，结余分配0.00万元，年末结转和结余14.37万元。</w:t>
      </w:r>
    </w:p>
    <w:p>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减少18.85万元，下降2.86%，主要原因是：本年度科学素质提升、基层科普行动计划项目资金、科普工作项目资金较上年减少。</w:t>
      </w:r>
    </w:p>
    <w:p>
      <w:pPr>
        <w:spacing w:line="640" w:lineRule="exact"/>
        <w:ind w:firstLine="640"/>
        <w:jc w:val="both"/>
        <w:outlineLvl w:val="2"/>
      </w:pPr>
      <w:r>
        <w:rPr>
          <w:rFonts w:ascii="黑体" w:hAnsi="黑体" w:eastAsia="黑体"/>
          <w:sz w:val="32"/>
        </w:rPr>
        <w:t>二、收入决算情况说明</w:t>
      </w:r>
    </w:p>
    <w:p>
      <w:pPr>
        <w:spacing w:line="580" w:lineRule="exact"/>
        <w:ind w:firstLine="640"/>
        <w:jc w:val="both"/>
      </w:pPr>
      <w:r>
        <w:rPr>
          <w:rFonts w:ascii="仿宋_GB2312" w:hAnsi="仿宋_GB2312" w:eastAsia="仿宋_GB2312"/>
          <w:b/>
          <w:sz w:val="32"/>
        </w:rPr>
        <w:t>本年收入613.99万元，</w:t>
      </w:r>
      <w:r>
        <w:rPr>
          <w:rFonts w:ascii="仿宋_GB2312" w:hAnsi="仿宋_GB2312" w:eastAsia="仿宋_GB2312"/>
          <w:b w:val="0"/>
          <w:sz w:val="32"/>
        </w:rPr>
        <w:t>其中：财政拨款收入599.53万元，占97.64%；上级补助收入0.00万元，占0.00%；事业收入0.00万元，占0.00%；经营收入0.00万元，占0.00%；附属单位上缴收入0.00万元，占0.00%；其他收入14.47万元，占2.36%。</w:t>
      </w:r>
    </w:p>
    <w:p>
      <w:pPr>
        <w:spacing w:line="640" w:lineRule="exact"/>
        <w:ind w:firstLine="640"/>
        <w:jc w:val="both"/>
        <w:outlineLvl w:val="2"/>
      </w:pPr>
      <w:r>
        <w:rPr>
          <w:rFonts w:ascii="黑体" w:hAnsi="黑体" w:eastAsia="黑体"/>
          <w:sz w:val="32"/>
        </w:rPr>
        <w:t>三、支出决算情况说明</w:t>
      </w:r>
    </w:p>
    <w:p>
      <w:pPr>
        <w:spacing w:line="580" w:lineRule="exact"/>
        <w:ind w:firstLine="640"/>
        <w:jc w:val="both"/>
      </w:pPr>
      <w:r>
        <w:rPr>
          <w:rFonts w:ascii="仿宋_GB2312" w:hAnsi="仿宋_GB2312" w:eastAsia="仿宋_GB2312"/>
          <w:b/>
          <w:sz w:val="32"/>
        </w:rPr>
        <w:t>本年支出625.09万元，</w:t>
      </w:r>
      <w:r>
        <w:rPr>
          <w:rFonts w:ascii="仿宋_GB2312" w:hAnsi="仿宋_GB2312" w:eastAsia="仿宋_GB2312"/>
          <w:b w:val="0"/>
          <w:sz w:val="32"/>
        </w:rPr>
        <w:t>其中：基本支出410.90万元，占65.73%；项目支出214.18万元，占34.26%；上缴上级支出0.00万元，占0.00%；经营支出0.00万元，占0.00%；对附属单位补助支出0.00万元，占0.00%。</w:t>
      </w:r>
    </w:p>
    <w:p>
      <w:pPr>
        <w:spacing w:line="640" w:lineRule="exact"/>
        <w:ind w:firstLine="640"/>
        <w:jc w:val="both"/>
        <w:outlineLvl w:val="2"/>
      </w:pPr>
      <w:r>
        <w:rPr>
          <w:rFonts w:ascii="黑体" w:hAnsi="黑体" w:eastAsia="黑体"/>
          <w:sz w:val="32"/>
        </w:rPr>
        <w:t>四、财政拨款收入支出决算总体情况说明</w:t>
      </w:r>
    </w:p>
    <w:p>
      <w:pPr>
        <w:spacing w:line="580" w:lineRule="exact"/>
        <w:ind w:firstLine="640"/>
        <w:jc w:val="both"/>
      </w:pPr>
      <w:r>
        <w:rPr>
          <w:rFonts w:ascii="仿宋_GB2312" w:hAnsi="仿宋_GB2312" w:eastAsia="仿宋_GB2312"/>
          <w:b/>
          <w:sz w:val="32"/>
        </w:rPr>
        <w:t>2025年度财政拨款收入总计599.53万元，</w:t>
      </w:r>
      <w:r>
        <w:rPr>
          <w:rFonts w:ascii="仿宋_GB2312" w:hAnsi="仿宋_GB2312" w:eastAsia="仿宋_GB2312"/>
          <w:b w:val="0"/>
          <w:sz w:val="32"/>
        </w:rPr>
        <w:t>其中：年初财政拨款结转和结余0.00万元，本年财政拨款收入599.53万元。</w:t>
      </w:r>
      <w:r>
        <w:rPr>
          <w:rFonts w:ascii="仿宋_GB2312" w:hAnsi="仿宋_GB2312" w:eastAsia="仿宋_GB2312"/>
          <w:b/>
          <w:sz w:val="32"/>
        </w:rPr>
        <w:t>财政拨款支出总计599.53万元，</w:t>
      </w:r>
      <w:r>
        <w:rPr>
          <w:rFonts w:ascii="仿宋_GB2312" w:hAnsi="仿宋_GB2312" w:eastAsia="仿宋_GB2312"/>
          <w:b w:val="0"/>
          <w:sz w:val="32"/>
        </w:rPr>
        <w:t>其中：年末财政拨款结转和结余0.00万元，本年财政拨款支出599.53万元。</w:t>
      </w:r>
    </w:p>
    <w:p>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减少11.03万元，下降1.81%，主要原因是：本年度科学素质提升、基层科普行动计划项目资金、科普工作项目资金较上年减少。</w:t>
      </w:r>
      <w:r>
        <w:rPr>
          <w:rFonts w:ascii="仿宋_GB2312" w:hAnsi="仿宋_GB2312" w:eastAsia="仿宋_GB2312"/>
          <w:b/>
          <w:sz w:val="32"/>
        </w:rPr>
        <w:t>与年初预算相比，</w:t>
      </w:r>
      <w:r>
        <w:rPr>
          <w:rFonts w:ascii="仿宋_GB2312" w:hAnsi="仿宋_GB2312" w:eastAsia="仿宋_GB2312"/>
          <w:b w:val="0"/>
          <w:sz w:val="32"/>
        </w:rPr>
        <w:t>年初预算数406.63万元，决算数599.53万元，预决算差异率47.44%，主要原因是：年中追加昌吉州科协科学素质提升、基层科普行动计划项目资金，导致预决算存在差异。</w:t>
      </w:r>
    </w:p>
    <w:p>
      <w:pPr>
        <w:spacing w:line="640" w:lineRule="exact"/>
        <w:ind w:firstLine="640"/>
        <w:jc w:val="both"/>
        <w:outlineLvl w:val="2"/>
      </w:pPr>
      <w:r>
        <w:rPr>
          <w:rFonts w:ascii="黑体" w:hAnsi="黑体" w:eastAsia="黑体"/>
          <w:sz w:val="32"/>
        </w:rPr>
        <w:t>五、一般公共预算财政拨款支出决算情况说明</w:t>
      </w:r>
    </w:p>
    <w:p>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科学技术支出等重点支出，体现在有关支出科目中。</w:t>
      </w:r>
    </w:p>
    <w:p>
      <w:pPr>
        <w:spacing w:line="580" w:lineRule="exact"/>
        <w:ind w:firstLine="640"/>
        <w:jc w:val="both"/>
      </w:pPr>
      <w:r>
        <w:rPr>
          <w:rFonts w:ascii="仿宋_GB2312" w:hAnsi="仿宋_GB2312" w:eastAsia="仿宋_GB2312"/>
          <w:b w:val="0"/>
          <w:sz w:val="32"/>
        </w:rPr>
        <w:t>按照支出功能分类，科学技术支出（类）科学技术普及（款）机构运行（项）的支出占本年财政拨款支出总额的比重最高，2025年度决算数为401.66万元，占比67.00%，主要用于人员工资福利、日常公用经费。</w:t>
      </w:r>
    </w:p>
    <w:p>
      <w:pPr>
        <w:spacing w:line="640" w:lineRule="exact"/>
        <w:ind w:firstLine="640"/>
        <w:jc w:val="both"/>
        <w:outlineLvl w:val="3"/>
      </w:pPr>
      <w:r>
        <w:rPr>
          <w:rFonts w:ascii="楷体_GB2312" w:hAnsi="楷体_GB2312" w:eastAsia="楷体_GB2312"/>
          <w:b/>
          <w:sz w:val="32"/>
        </w:rPr>
        <w:t>（一）一般公共预算财政拨款支出决算总体情况</w:t>
      </w:r>
    </w:p>
    <w:p>
      <w:pPr>
        <w:spacing w:line="580" w:lineRule="exact"/>
        <w:ind w:firstLine="640"/>
        <w:jc w:val="both"/>
      </w:pPr>
      <w:r>
        <w:rPr>
          <w:rFonts w:ascii="仿宋_GB2312" w:hAnsi="仿宋_GB2312" w:eastAsia="仿宋_GB2312"/>
          <w:b/>
          <w:sz w:val="32"/>
        </w:rPr>
        <w:t>2025年度一般公共预算财政拨款支出599.53万元，</w:t>
      </w:r>
      <w:r>
        <w:rPr>
          <w:rFonts w:ascii="仿宋_GB2312" w:hAnsi="仿宋_GB2312" w:eastAsia="仿宋_GB2312"/>
          <w:b w:val="0"/>
          <w:sz w:val="32"/>
        </w:rPr>
        <w:t>占本年支出合计的95.91%。</w:t>
      </w:r>
      <w:r>
        <w:rPr>
          <w:rFonts w:ascii="仿宋_GB2312" w:hAnsi="仿宋_GB2312" w:eastAsia="仿宋_GB2312"/>
          <w:b/>
          <w:sz w:val="32"/>
        </w:rPr>
        <w:t>与上年相比，</w:t>
      </w:r>
      <w:r>
        <w:rPr>
          <w:rFonts w:ascii="仿宋_GB2312" w:hAnsi="仿宋_GB2312" w:eastAsia="仿宋_GB2312"/>
          <w:b w:val="0"/>
          <w:sz w:val="32"/>
        </w:rPr>
        <w:t>减少11.03万元，下降1.81%，主要原因是：本年度科学素质提升、基层科普行动计划项目资金、科普工作项目资金较上年减少。</w:t>
      </w:r>
      <w:r>
        <w:rPr>
          <w:rFonts w:ascii="仿宋_GB2312" w:hAnsi="仿宋_GB2312" w:eastAsia="仿宋_GB2312"/>
          <w:b/>
          <w:sz w:val="32"/>
        </w:rPr>
        <w:t>与年初预算相比，</w:t>
      </w:r>
      <w:r>
        <w:rPr>
          <w:rFonts w:ascii="仿宋_GB2312" w:hAnsi="仿宋_GB2312" w:eastAsia="仿宋_GB2312"/>
          <w:b w:val="0"/>
          <w:sz w:val="32"/>
        </w:rPr>
        <w:t>年初预算数406.63万元，决算数599.53万元，预决算差异率47.44%，主要原因是：年中追加昌吉州科协科学素质提升、基层科普行动计划项目资金，导致预决算存在差异。</w:t>
      </w:r>
    </w:p>
    <w:p>
      <w:pPr>
        <w:spacing w:line="640" w:lineRule="exact"/>
        <w:ind w:firstLine="640"/>
        <w:jc w:val="both"/>
        <w:outlineLvl w:val="3"/>
      </w:pPr>
      <w:r>
        <w:rPr>
          <w:rFonts w:ascii="楷体_GB2312" w:hAnsi="楷体_GB2312" w:eastAsia="楷体_GB2312"/>
          <w:b/>
          <w:sz w:val="32"/>
        </w:rPr>
        <w:t>（二）一般公共预算财政拨款支出决算结构情况</w:t>
      </w:r>
    </w:p>
    <w:p>
      <w:pPr>
        <w:spacing w:line="580" w:lineRule="exact"/>
        <w:ind w:firstLine="640"/>
        <w:jc w:val="both"/>
      </w:pPr>
      <w:r>
        <w:rPr>
          <w:rFonts w:ascii="仿宋_GB2312" w:hAnsi="仿宋_GB2312" w:eastAsia="仿宋_GB2312"/>
          <w:b w:val="0"/>
          <w:sz w:val="32"/>
        </w:rPr>
        <w:t>1.科学技术支出（类）595.90万元，占99.39%。</w:t>
      </w:r>
    </w:p>
    <w:p>
      <w:pPr>
        <w:spacing w:line="580" w:lineRule="exact"/>
        <w:ind w:firstLine="640"/>
        <w:jc w:val="both"/>
      </w:pPr>
      <w:r>
        <w:rPr>
          <w:rFonts w:ascii="仿宋_GB2312" w:hAnsi="仿宋_GB2312" w:eastAsia="仿宋_GB2312"/>
          <w:b w:val="0"/>
          <w:sz w:val="32"/>
        </w:rPr>
        <w:t>2.资源勘探工业信息等支出（类）0.60万元，占0.10%。</w:t>
      </w:r>
    </w:p>
    <w:p>
      <w:pPr>
        <w:spacing w:line="580" w:lineRule="exact"/>
        <w:ind w:firstLine="640"/>
        <w:jc w:val="both"/>
      </w:pPr>
      <w:r>
        <w:rPr>
          <w:rFonts w:ascii="仿宋_GB2312" w:hAnsi="仿宋_GB2312" w:eastAsia="仿宋_GB2312"/>
          <w:b w:val="0"/>
          <w:sz w:val="32"/>
        </w:rPr>
        <w:t>3.其他支出（类）3.03万元，占0.51%。</w:t>
      </w:r>
    </w:p>
    <w:p>
      <w:pPr>
        <w:spacing w:line="640" w:lineRule="exact"/>
        <w:ind w:firstLine="640"/>
        <w:jc w:val="both"/>
        <w:outlineLvl w:val="3"/>
      </w:pPr>
      <w:r>
        <w:rPr>
          <w:rFonts w:ascii="楷体_GB2312" w:hAnsi="楷体_GB2312" w:eastAsia="楷体_GB2312"/>
          <w:b/>
          <w:sz w:val="32"/>
        </w:rPr>
        <w:t>（三）一般公共预算财政拨款支出决算具体情况</w:t>
      </w:r>
    </w:p>
    <w:p>
      <w:pPr>
        <w:spacing w:line="580" w:lineRule="exact"/>
        <w:ind w:firstLine="640"/>
        <w:jc w:val="both"/>
      </w:pPr>
      <w:r>
        <w:rPr>
          <w:rFonts w:ascii="仿宋_GB2312" w:hAnsi="仿宋_GB2312" w:eastAsia="仿宋_GB2312"/>
          <w:b w:val="0"/>
          <w:sz w:val="32"/>
        </w:rPr>
        <w:t>1.科学技术支出（类）科学技术管理事务（款）一般行政管理事务（项）：支出决算数为0.00万元，比上年决算减少3.50万元，下降100.00%，主要原因是：本年借用车辆项目经费减少。</w:t>
      </w:r>
    </w:p>
    <w:p>
      <w:pPr>
        <w:spacing w:line="580" w:lineRule="exact"/>
        <w:ind w:firstLine="640"/>
        <w:jc w:val="both"/>
      </w:pPr>
      <w:r>
        <w:rPr>
          <w:rFonts w:ascii="仿宋_GB2312" w:hAnsi="仿宋_GB2312" w:eastAsia="仿宋_GB2312"/>
          <w:b w:val="0"/>
          <w:sz w:val="32"/>
        </w:rPr>
        <w:t>2.科学技术支出（类）科学技术普及（款）机构运行（项）：支出决算数为401.66万元，比上年决算增加41.78万元，增长11.61%，主要原因是：本年在职人员工资基数调增，相应人员经费支出增加。</w:t>
      </w:r>
    </w:p>
    <w:p>
      <w:pPr>
        <w:spacing w:line="580" w:lineRule="exact"/>
        <w:ind w:firstLine="640"/>
        <w:jc w:val="both"/>
      </w:pPr>
      <w:r>
        <w:rPr>
          <w:rFonts w:ascii="仿宋_GB2312" w:hAnsi="仿宋_GB2312" w:eastAsia="仿宋_GB2312"/>
          <w:b w:val="0"/>
          <w:sz w:val="32"/>
        </w:rPr>
        <w:t>3.科学技术支出（类）科学技术普及（款）科普活动（项）：支出决算数为54.97万元，比上年决算减少24.03万元，下降30.42%，主要原因是：本年度科普工作项目资金较上年减少。</w:t>
      </w:r>
    </w:p>
    <w:p>
      <w:pPr>
        <w:spacing w:line="580" w:lineRule="exact"/>
        <w:ind w:firstLine="640"/>
        <w:jc w:val="both"/>
      </w:pPr>
      <w:r>
        <w:rPr>
          <w:rFonts w:ascii="仿宋_GB2312" w:hAnsi="仿宋_GB2312" w:eastAsia="仿宋_GB2312"/>
          <w:b w:val="0"/>
          <w:sz w:val="32"/>
        </w:rPr>
        <w:t>4.科学技术支出（类）科学技术普及（款）科技馆站（项）：支出决算数为6.21万元，比上年决算增加6.21万元，增长100.00%，主要原因是：本年改革性补贴资金调增，导致经费比上年增加。</w:t>
      </w:r>
    </w:p>
    <w:p>
      <w:pPr>
        <w:spacing w:line="580" w:lineRule="exact"/>
        <w:ind w:firstLine="640"/>
        <w:jc w:val="both"/>
      </w:pPr>
      <w:r>
        <w:rPr>
          <w:rFonts w:ascii="仿宋_GB2312" w:hAnsi="仿宋_GB2312" w:eastAsia="仿宋_GB2312"/>
          <w:b w:val="0"/>
          <w:sz w:val="32"/>
        </w:rPr>
        <w:t>5.科学技术支出（类）科学技术普及（款）其他科学技术普及支出（项）：支出决算数为133.05万元，比上年决算减少31.50万元，下降19.14%，主要原因是：本年科学素质提升、基层科普行动计划项目资金较上年减少。</w:t>
      </w:r>
    </w:p>
    <w:p>
      <w:pPr>
        <w:spacing w:line="580" w:lineRule="exact"/>
        <w:ind w:firstLine="640"/>
        <w:jc w:val="both"/>
      </w:pPr>
      <w:r>
        <w:rPr>
          <w:rFonts w:ascii="仿宋_GB2312" w:hAnsi="仿宋_GB2312" w:eastAsia="仿宋_GB2312"/>
          <w:b w:val="0"/>
          <w:sz w:val="32"/>
        </w:rPr>
        <w:t>6.资源勘探工业信息等支出（类）制造业（款）通信设备、计算机及其他电子设备制造业（项）：支出决算数为0.60万元，比上年决算增加0.60万元，增长100.00%，主要原因是：2025年第二批中央基建投资预算项目经费增加。</w:t>
      </w:r>
    </w:p>
    <w:p>
      <w:pPr>
        <w:spacing w:line="580" w:lineRule="exact"/>
        <w:ind w:firstLine="640"/>
        <w:jc w:val="both"/>
      </w:pPr>
      <w:r>
        <w:rPr>
          <w:rFonts w:ascii="仿宋_GB2312" w:hAnsi="仿宋_GB2312" w:eastAsia="仿宋_GB2312"/>
          <w:b w:val="0"/>
          <w:sz w:val="32"/>
        </w:rPr>
        <w:t>7.其他支出（类）其他支出（款）其他支出（项）：支出决算数为3.03万元，比上年决算减少0.61万元，下降16.76%，主要原因是：为民办实事工作个人补助经费较上年减少。</w:t>
      </w:r>
    </w:p>
    <w:p>
      <w:pPr>
        <w:spacing w:line="640" w:lineRule="exact"/>
        <w:ind w:firstLine="640"/>
        <w:jc w:val="both"/>
        <w:outlineLvl w:val="2"/>
      </w:pPr>
      <w:r>
        <w:rPr>
          <w:rFonts w:ascii="黑体" w:hAnsi="黑体" w:eastAsia="黑体"/>
          <w:sz w:val="32"/>
        </w:rPr>
        <w:t>六、一般公共预算财政拨款基本支出决算情况说明</w:t>
      </w:r>
    </w:p>
    <w:p>
      <w:pPr>
        <w:spacing w:line="580" w:lineRule="exact"/>
        <w:ind w:firstLine="640"/>
        <w:jc w:val="both"/>
      </w:pPr>
      <w:r>
        <w:rPr>
          <w:rFonts w:ascii="仿宋_GB2312" w:hAnsi="仿宋_GB2312" w:eastAsia="仿宋_GB2312"/>
          <w:b w:val="0"/>
          <w:sz w:val="32"/>
        </w:rPr>
        <w:t>2025年度一般公共预算财政拨款基本支出410.90万元，其中：</w:t>
      </w:r>
      <w:r>
        <w:rPr>
          <w:rFonts w:ascii="仿宋_GB2312" w:hAnsi="仿宋_GB2312" w:eastAsia="仿宋_GB2312"/>
          <w:b/>
          <w:sz w:val="32"/>
        </w:rPr>
        <w:t>人员经费384.85万元，</w:t>
      </w:r>
      <w:r>
        <w:rPr>
          <w:rFonts w:ascii="仿宋_GB2312" w:hAnsi="仿宋_GB2312" w:eastAsia="仿宋_GB2312"/>
          <w:b w:val="0"/>
          <w:sz w:val="32"/>
        </w:rPr>
        <w:t>包括：基本工资、津贴补贴、奖金、绩效工资、机关事业单位基本养老保险缴费、职业年金缴费、职工基本医疗保险缴费、公务员医疗补助缴费、其他社会保障缴费、住房公积金、其他工资福利支出、离休费、退休费、生活补助、奖励金。</w:t>
      </w:r>
    </w:p>
    <w:p>
      <w:pPr>
        <w:spacing w:line="580" w:lineRule="exact"/>
        <w:ind w:firstLine="640"/>
        <w:jc w:val="both"/>
      </w:pPr>
      <w:r>
        <w:rPr>
          <w:rFonts w:ascii="仿宋_GB2312" w:hAnsi="仿宋_GB2312" w:eastAsia="仿宋_GB2312"/>
          <w:b/>
          <w:sz w:val="32"/>
        </w:rPr>
        <w:t>公用经费26.06万元，</w:t>
      </w:r>
      <w:r>
        <w:rPr>
          <w:rFonts w:ascii="仿宋_GB2312" w:hAnsi="仿宋_GB2312" w:eastAsia="仿宋_GB2312"/>
          <w:b w:val="0"/>
          <w:sz w:val="32"/>
        </w:rPr>
        <w:t>包括：办公费、电费、邮电费、物业管理费、维修（护）费、公务接待费、劳务费、工会经费、福利费、公务用车运行维护费、其他商品和服务支出。</w:t>
      </w:r>
    </w:p>
    <w:p>
      <w:pPr>
        <w:spacing w:line="640" w:lineRule="exact"/>
        <w:ind w:firstLine="640"/>
        <w:jc w:val="both"/>
        <w:outlineLvl w:val="2"/>
      </w:pPr>
      <w:r>
        <w:rPr>
          <w:rFonts w:ascii="黑体" w:hAnsi="黑体" w:eastAsia="黑体"/>
          <w:sz w:val="32"/>
        </w:rPr>
        <w:t>七、政府性基金预算财政拨款收入支出决算情况说明</w:t>
      </w:r>
    </w:p>
    <w:p>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pPr>
        <w:spacing w:line="640" w:lineRule="exact"/>
        <w:ind w:firstLine="640"/>
        <w:jc w:val="both"/>
        <w:outlineLvl w:val="2"/>
      </w:pPr>
      <w:r>
        <w:rPr>
          <w:rFonts w:ascii="黑体" w:hAnsi="黑体" w:eastAsia="黑体"/>
          <w:sz w:val="32"/>
        </w:rPr>
        <w:t>八、国有资本经营预算财政拨款收入支出决算情况说明</w:t>
      </w:r>
    </w:p>
    <w:p>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pPr>
        <w:spacing w:line="640" w:lineRule="exact"/>
        <w:ind w:firstLine="640"/>
        <w:jc w:val="both"/>
        <w:outlineLvl w:val="2"/>
      </w:pPr>
      <w:r>
        <w:rPr>
          <w:rFonts w:ascii="黑体" w:hAnsi="黑体" w:eastAsia="黑体"/>
          <w:sz w:val="32"/>
        </w:rPr>
        <w:t>九、财政拨款“三公”经费支出决算情况说明</w:t>
      </w:r>
    </w:p>
    <w:p>
      <w:pPr>
        <w:spacing w:line="580" w:lineRule="exact"/>
        <w:ind w:firstLine="640"/>
        <w:jc w:val="both"/>
      </w:pPr>
      <w:r>
        <w:rPr>
          <w:rFonts w:ascii="仿宋_GB2312" w:hAnsi="仿宋_GB2312" w:eastAsia="仿宋_GB2312"/>
          <w:b/>
          <w:sz w:val="32"/>
        </w:rPr>
        <w:t>2025年度财政拨款“三公”经费支出7.80万元，</w:t>
      </w:r>
      <w:r>
        <w:rPr>
          <w:rFonts w:ascii="仿宋_GB2312" w:hAnsi="仿宋_GB2312" w:eastAsia="仿宋_GB2312"/>
          <w:b w:val="0"/>
          <w:sz w:val="32"/>
        </w:rPr>
        <w:t>比上年增加1.27万元，增长19.45%，主要原因是：本单位公务用车日渐老化，维修维护成本增加，导致公务用车运行维护费较上年增加。</w:t>
      </w:r>
      <w:r>
        <w:rPr>
          <w:rFonts w:ascii="仿宋_GB2312" w:hAnsi="仿宋_GB2312" w:eastAsia="仿宋_GB2312"/>
          <w:b w:val="0"/>
          <w:sz w:val="32"/>
        </w:rPr>
        <w:t>其中：因公出国（境）费用支出0.00万元，占0.00%，比上年增加0.00万元，增长0.00%，主要原因是：2024年与2025年均无因公出国（境）费用支出。</w:t>
      </w:r>
      <w:r>
        <w:rPr>
          <w:rFonts w:ascii="仿宋_GB2312" w:hAnsi="仿宋_GB2312" w:eastAsia="仿宋_GB2312"/>
          <w:b w:val="0"/>
          <w:sz w:val="32"/>
        </w:rPr>
        <w:t>公务用车购置及运行维护费支出7.54万元，占96.67%，比上年增加1.01万元，增长15.47%，主要原因是：本单位公务用车日渐老化，维修维护成本增加，导致公务用车运行维护费较上年增加。</w:t>
      </w:r>
      <w:r>
        <w:rPr>
          <w:rFonts w:ascii="仿宋_GB2312" w:hAnsi="仿宋_GB2312" w:eastAsia="仿宋_GB2312"/>
          <w:b w:val="0"/>
          <w:sz w:val="32"/>
        </w:rPr>
        <w:t>公务接待费支出0.26万元，占3.33%，比上年增加0.26万元，增长100.00%，主要原因是：本年因科普业务需求，增加公务接待工作，导致公务接待费较上年增加。</w:t>
      </w:r>
    </w:p>
    <w:p>
      <w:pPr>
        <w:spacing w:line="580" w:lineRule="exact"/>
        <w:ind w:firstLine="640"/>
        <w:jc w:val="both"/>
      </w:pPr>
      <w:r>
        <w:rPr>
          <w:rFonts w:ascii="仿宋_GB2312" w:hAnsi="仿宋_GB2312" w:eastAsia="仿宋_GB2312"/>
          <w:b/>
          <w:sz w:val="32"/>
        </w:rPr>
        <w:t>具体情况如下：</w:t>
      </w:r>
    </w:p>
    <w:p>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pPr>
        <w:spacing w:line="580" w:lineRule="exact"/>
        <w:ind w:firstLine="640"/>
        <w:jc w:val="both"/>
      </w:pPr>
      <w:r>
        <w:rPr>
          <w:rFonts w:ascii="仿宋_GB2312" w:hAnsi="仿宋_GB2312" w:eastAsia="仿宋_GB2312"/>
          <w:b w:val="0"/>
          <w:sz w:val="32"/>
        </w:rPr>
        <w:t>公务用车购置及运行维护费7.54万元，其中：公务用车购置费0.00万元，公务用车运行维护费7.54万元。公务用车运行维护费开支内容包括车辆加油费、维修费、保险费、审车费、过路费。公务用车购置数0辆，公务用车保有量2辆。国有资产占用情况中固定资产车辆2辆，与公务用车保有量差异原因是：本单位公务用车保有量与固定资产车辆一致无差异。</w:t>
      </w:r>
    </w:p>
    <w:p>
      <w:pPr>
        <w:spacing w:line="580" w:lineRule="exact"/>
        <w:ind w:firstLine="640"/>
        <w:jc w:val="both"/>
      </w:pPr>
      <w:r>
        <w:rPr>
          <w:rFonts w:ascii="仿宋_GB2312" w:hAnsi="仿宋_GB2312" w:eastAsia="仿宋_GB2312"/>
          <w:b w:val="0"/>
          <w:sz w:val="32"/>
        </w:rPr>
        <w:t>公务接待费0.26万元，开支内容包括因科普工作需求，接待上级领导指导工作，地州市工作小组考察学习产生的就餐费。单位全年安排的国内公务接待4批次，14人次。</w:t>
      </w:r>
    </w:p>
    <w:p>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7.80万元，决算数7.80万元，预决算差异率0.00%，主要原因是：严格按照预算执行，预决算无差异。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7.54万元，决算数7.54万元，预决算差异率0.00%，主要原因是：严格按照预算执行，预决算无差异。公务接待费全年预算数0.26万元，决算数0.26万元，预决算差异率0.00%，主要原因是：严格按照预算执行，预决算无差异。</w:t>
      </w:r>
    </w:p>
    <w:p>
      <w:pPr>
        <w:spacing w:line="640" w:lineRule="exact"/>
        <w:ind w:firstLine="640"/>
        <w:jc w:val="both"/>
        <w:outlineLvl w:val="2"/>
      </w:pPr>
      <w:r>
        <w:rPr>
          <w:rFonts w:ascii="黑体" w:hAnsi="黑体" w:eastAsia="黑体"/>
          <w:sz w:val="32"/>
        </w:rPr>
        <w:t>十、其他重要事项的情况说明</w:t>
      </w:r>
    </w:p>
    <w:p>
      <w:pPr>
        <w:spacing w:line="640" w:lineRule="exact"/>
        <w:ind w:firstLine="640"/>
        <w:jc w:val="both"/>
        <w:outlineLvl w:val="3"/>
      </w:pPr>
      <w:r>
        <w:rPr>
          <w:rFonts w:ascii="楷体_GB2312" w:hAnsi="楷体_GB2312" w:eastAsia="楷体_GB2312"/>
          <w:b/>
          <w:sz w:val="32"/>
        </w:rPr>
        <w:t>（一）机关运行经费及公用经费支出情况</w:t>
      </w:r>
    </w:p>
    <w:p>
      <w:pPr>
        <w:spacing w:line="580" w:lineRule="exact"/>
        <w:ind w:firstLine="640"/>
        <w:jc w:val="both"/>
      </w:pPr>
      <w:r>
        <w:rPr>
          <w:rFonts w:ascii="仿宋_GB2312" w:hAnsi="仿宋_GB2312" w:eastAsia="仿宋_GB2312"/>
          <w:b w:val="0"/>
          <w:sz w:val="32"/>
        </w:rPr>
        <w:t>2025年度昌吉回族自治州科学技术协会（行政单位和参照公务员法管理事业单位）机关运行经费支出26.06万元，比上年增加3.83万元，增长17.23%，主要原因是：本年增加劳务费、物业管理费，导致公用经费增加。</w:t>
      </w:r>
    </w:p>
    <w:p>
      <w:pPr>
        <w:spacing w:line="640" w:lineRule="exact"/>
        <w:ind w:firstLine="640"/>
        <w:jc w:val="both"/>
        <w:outlineLvl w:val="3"/>
      </w:pPr>
      <w:r>
        <w:rPr>
          <w:rFonts w:ascii="楷体_GB2312" w:hAnsi="楷体_GB2312" w:eastAsia="楷体_GB2312"/>
          <w:b/>
          <w:sz w:val="32"/>
        </w:rPr>
        <w:t>（二）政府采购情况</w:t>
      </w:r>
    </w:p>
    <w:p>
      <w:pPr>
        <w:spacing w:line="580" w:lineRule="exact"/>
        <w:ind w:firstLine="640"/>
        <w:jc w:val="both"/>
      </w:pPr>
      <w:r>
        <w:rPr>
          <w:rFonts w:ascii="仿宋_GB2312" w:hAnsi="仿宋_GB2312" w:eastAsia="仿宋_GB2312"/>
          <w:b w:val="0"/>
          <w:sz w:val="32"/>
        </w:rPr>
        <w:t>2025年度政府采购支出总额164.16万元，其中：政府采购货物支出74.33万元、政府采购工程支出0.00万元、政府采购服务支出89.83万元。</w:t>
      </w:r>
    </w:p>
    <w:p>
      <w:pPr>
        <w:spacing w:line="580" w:lineRule="exact"/>
        <w:ind w:firstLine="640"/>
        <w:jc w:val="both"/>
      </w:pPr>
      <w:r>
        <w:rPr>
          <w:rFonts w:ascii="仿宋_GB2312" w:hAnsi="仿宋_GB2312" w:eastAsia="仿宋_GB2312"/>
          <w:b w:val="0"/>
          <w:sz w:val="32"/>
        </w:rPr>
        <w:t>授予中小企业合同金额164.16万元，占政府采购支出总额的100.00%，其中：授予小微企业合同金额164.16万元，占政府采购支出总额的100.00%。</w:t>
      </w:r>
    </w:p>
    <w:p>
      <w:pPr>
        <w:spacing w:line="640" w:lineRule="exact"/>
        <w:ind w:firstLine="640"/>
        <w:jc w:val="both"/>
        <w:outlineLvl w:val="3"/>
      </w:pPr>
      <w:r>
        <w:rPr>
          <w:rFonts w:ascii="楷体_GB2312" w:hAnsi="楷体_GB2312" w:eastAsia="楷体_GB2312"/>
          <w:b/>
          <w:sz w:val="32"/>
        </w:rPr>
        <w:t>（三）国有资产占用情况说明</w:t>
      </w:r>
    </w:p>
    <w:p>
      <w:pPr>
        <w:spacing w:line="580" w:lineRule="exact"/>
        <w:ind w:firstLine="640"/>
        <w:jc w:val="both"/>
      </w:pPr>
      <w:r>
        <w:rPr>
          <w:rFonts w:ascii="仿宋_GB2312" w:hAnsi="仿宋_GB2312" w:eastAsia="仿宋_GB2312"/>
          <w:b w:val="0"/>
          <w:sz w:val="32"/>
        </w:rPr>
        <w:t>截至2025年12月31日，房屋0.00平方米，价值0.00万元。车辆2辆，价值42.54万元，其中：副部（省）级及以上领导用车0辆、主要负责人用车0辆、机要通信用车0辆、应急保障用车0辆、执法执勤用车0辆、特种专业技术用车0辆、离退休干部服务用车0辆、其他用车2辆，其他用车主要是：一般公务用车。单价100万元（含）以上设备（不含车辆）0台（套）。</w:t>
      </w:r>
    </w:p>
    <w:p>
      <w:pPr>
        <w:spacing w:line="640" w:lineRule="exact"/>
        <w:ind w:firstLine="640"/>
        <w:jc w:val="both"/>
        <w:outlineLvl w:val="2"/>
      </w:pPr>
      <w:r>
        <w:rPr>
          <w:rFonts w:ascii="黑体" w:hAnsi="黑体" w:eastAsia="黑体"/>
          <w:sz w:val="32"/>
        </w:rPr>
        <w:t>十一、预算绩效的情况说明</w:t>
      </w:r>
    </w:p>
    <w:p>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653.81万元，实际执行总额639.45万元；预算绩效评价项目4个，全年预算数224.42万元，全年执行数214.99万元。预算绩效管理取得的成效：一是强化科技人才工作：以“科技工作者日”为契机开展22项活动，营造尊重科技、人才的氛围。组织100名优秀科技工作者赴疆内外观摩培训，协调52名科技教师参加“馆校合作”培训，向自治区推荐优秀科技人物49名，2人获“自治区科技型企业家”称号，宣传20名科技工作者创新事迹，激发创新热情。二是推进科技小院建设：加大培育储备力度，全年培育储备20家科技小院。新增木垒鹰嘴豆、奇台春小麦2家国家级科技小院，全州达6家，推动农业科技成果转化，助力乡村振兴。三是深化多方合作：昌吉科技馆获授“复旦大学科普大讲堂”牌匾，启动科普空中课堂。贯彻第七次全国科技援疆会议精神，与福建省、山西省科协加强交流，达成9份对口援助协议，选派28人次参加培训，促进区域科技交流合作。四是精准服务重点人群：针对青少年、农民等开展科普活动，组织320名师生参加自治区青少年科学嘉年华，108人获奖；联合教育局举办第三届科技节，723名师生获奖；承办全国青年科普创新大赛昌吉初赛，29支队伍晋级自治区复赛；指导1名学生参加“红领巾小讲解员”展演获“金话筒”荣誉；组织200名学生研学，52名科技辅导员培训，激发青少年科学兴趣。五是打造科普品牌活动：开展“科技之冬”“科技之春”等培训5541场次，参训13.6万人次；举办“百名院士、千名专家、万名科技工作者上讲堂”活动163场次，惠及3万余人次；全国科普月期间开展活动132场次，科普大篷车行程6162公里，受益7.3万人次；举办全州科协系统公民科学素质知识竞赛，自治区竞赛获三等奖，提高科普覆盖面和影响力。六是加强科协组织建设，扩大组织覆盖。指导行业协会建立人才库，支持10家州直学（协）会制作20个科普视频。新增企业科协18家，全州基层科协组织突破100家，实现国家级、自治区级园区科协和高校科协全覆盖，强化科协枢纽作用，扩大影响力和覆盖面。发现的问题及原因：一是整体绩效指标与四服务核心职能结合不紧密，目标设定偏笼统，对科技工作者的联系服务还有不足，对全州各领域优秀的科技工作者挖掘选树还有欠缺；对具体目标数值、覆盖范围、完成时限缺衡量标准。原因分析：对部门整体绩效目标编制政策理解不深，前期调研不充分，对科普、科技服务等工作的产出把握不足。二是部门整体绩效指标与业务结合不够紧密，产出指标侧重活动场次、资金支出等数量指标，对科普质量、科技工作者满意度、服务创新实效等质量、效益指标设置不足，指标权重分配不合理，重产出轻效益。原因分析：对部门整体工作包括科普推广、人才服务等方面熟悉不够，未结合昌吉州实际比如基层科普薄弱、县域发展不均设计个性化指标，缺乏行业标准参考，指标简单，无法精准反映履职成效。下一步改进措施：一是聚焦科协“四服务”核心职能与昌吉州科普工作、科技人孝服务重点，细化绩效目标编制工作。各科室协同配合对基层科协开展前期调研，将年度重点工作、长期履职目标转人为可量化、可考核的具体目标，明确全民科学素质提升、科技服务覆盖等指标的数值及时限，加强对科技工作者联系服务工作的力度，全力落实2025年各项工作任务和重点项目，努力为典范地州建设做出科协贡献。二是立足科协业务特色，摒弃通用指标模板，构建贴合科普宣传、学术交流、科技人才服务的个性化指标体系。针对科普服务质量、科技工作者服务满意度等方面核心内容制定量化标准，结合昌吉州基层科普发展不均衡现状，优化县域科普、基层科协建设等指标，完善指标权重分配，让指标体系全面反映部门履职实效。达到绩效目标与预算编制相融合，在实际执行环节，严格执行预算支出，提升预算编制和资金执行的匹配度。具体附整体支出绩效自评表、项目支出绩效自评表及项目支出绩效评价报告。</w:t>
      </w:r>
    </w:p>
    <w:p>
      <w:r>
        <w:br w:type="page"/>
      </w:r>
    </w:p>
    <w:tbl>
      <w:tblPr>
        <w:tblW w:type="pct" w:w="5000"/>
        <w:tblLayout w:type="fixed"/>
        <w:tblLook w:firstColumn="1" w:firstRow="1" w:lastColumn="0" w:lastRow="0" w:noHBand="0" w:noVBand="1" w:val="04A0"/>
        <w:tblCellMar>
          <w:top w:w="36" w:type="dxa"/>
          <w:left w:w="36" w:type="dxa"/>
          <w:bottom w:w="36" w:type="dxa"/>
          <w:right w:w="36" w:type="dxa"/>
        </w:tblCellMar>
      </w:tblPr>
      <w:tblGrid>
        <w:gridCol w:w="477"/>
        <w:gridCol w:w="1187"/>
        <w:gridCol w:w="1256"/>
        <w:gridCol w:w="1226"/>
        <w:gridCol w:w="994"/>
        <w:gridCol w:w="1032"/>
        <w:gridCol w:w="794"/>
        <w:gridCol w:w="935"/>
        <w:gridCol w:w="942"/>
      </w:tblGrid>
      <w:tr>
        <w:trPr>
          <w:trHeight w:val="522"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部门（单位）整体支出绩效目标自评表</w:t>
            </w:r>
          </w:p>
        </w:tc>
      </w:tr>
      <w:tr>
        <w:trPr>
          <w:trHeight w:val="360"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66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部门（单位）名称</w:t>
            </w:r>
          </w:p>
        </w:tc>
        <w:tc>
          <w:tcPr>
            <w:tcW w:type="dxa" w:w="98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昌吉回族自治州科学技术协会</w:t>
            </w:r>
          </w:p>
        </w:tc>
      </w:tr>
      <w:tr>
        <w:trPr>
          <w:trHeight w:val="57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部门资金（万元）</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资金来源</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执行率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得分</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上级资金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54.97</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54.97</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346.63</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558.92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558.92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39.92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25.56</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合计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431.63</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653.81</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639.45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97.8%</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9.78</w:t>
            </w:r>
          </w:p>
        </w:tc>
      </w:tr>
      <w:tr>
        <w:trPr>
          <w:trHeight w:val="705"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实际完成情况</w:t>
            </w:r>
          </w:p>
        </w:tc>
      </w:tr>
      <w:tr>
        <w:trPr>
          <w:trHeight w:val="2000" w:hRule="atLeast"/>
        </w:trPr>
        <w:tc>
          <w:tcPr>
            <w:tcW w:type="dxa" w:w="983"/>
            <w:gridSpan w:val="2"/>
            <w:vMerge/>
            <w:tcBorders>
              <w:start w:sz="10" w:val="single"/>
              <w:top w:sz="10" w:val="single"/>
              <w:end w:sz="10" w:val="single"/>
              <w:bottom w:sz="10" w:val="single"/>
              <w:insideV w:sz="10" w:val="single"/>
            </w:tcBorders>
          </w:tcP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科学技术协会将认真学习贯彻党的二十届三中全会精神和区州党委全会精神，全面履行为科技工作者服务、为创新驱动发展服务、为提高全民科学素质服务、为党和政府科学决策服务的“四服务”职责，2025年将打造科普宣传阵地2个，开展科学素质提升教育培训2次，开展各类科普宣传和活动次数30次，开展科技工作者互观互学活动1次，新建企业科协组织数量10个。以铸牢中华民族共同体意识为主线，以助力高质量发展为目标，不断在建设中国式现代化新疆实践的典范地州上发挥科协作用。</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 年我单位全年预算数为653.81 万元，全年执行数为 639.45万元，总预算执行率为99.78% 。2025年我单位完成以下工作内容：1.打造科普宣传阵地2个；2.开展科学素质提升教育培训班2次； 3.开展各类科普宣传和活动30场次，4、开展科技工作者互观互学活动1次、5、新建企业科协组织数量10个。通过以上工作的实施，达到在青少年人群中营造人人爱科学，人人讲科学的良好氛围，充分发挥全民科学素质作用，达到传播科学精神效果的预期目标。</w:t>
            </w:r>
          </w:p>
        </w:tc>
      </w:tr>
      <w:tr>
        <w:trPr>
          <w:trHeight w:val="58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预期指标值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指标值设定依据</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得分</w:t>
            </w:r>
          </w:p>
        </w:tc>
      </w:tr>
      <w:tr>
        <w:trPr>
          <w:trHeight w:val="74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履职效能</w:t>
            </w:r>
          </w:p>
        </w:tc>
        <w:tc>
          <w:tcPr>
            <w:tcW w:type="dxa" w:w="98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打造科普宣传阵地数量</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&gt;=2个</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昌吉州科协 2025 年重点工作、科普素质提升工作方案</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2个</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开展科学素质提升教育培训次数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中央自治区基层科普行动计划、昌吉州科学技术协会 2025 年重点工作、</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开展各类科普宣传和活动次数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&gt;=30次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基层科普行动项目方案、昌吉州科学技术协会 2025 年重点工作</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开展科技工作者互观互学活动次数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昌吉州科学技术协会 2025 年重点工作、全民素质行动纲要</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新建企业科协组织数量</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&gt;=10个</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昌吉州科学技术协会 2025 年重点工作、昌吉州贯彻落实《自治区全民科学素质行动规划纲要实施方案（2021-2025）年》责任分解</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10个</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r>
    </w:tbl>
    <w:p>
      <w:r>
        <w:br w:type="page"/>
      </w:r>
    </w:p>
    <w:p>
      <w:pPr>
        <w:sectPr>
          <w:footerReference r:id="rId3" w:type="default"/>
          <w:pgSz w:w="11906" w:h="16838"/>
          <w:pgMar w:top="2098" w:right="1531" w:bottom="1985" w:left="1531" w:header="851" w:footer="992" w:gutter="0"/>
          <w:cols w:space="720" w:num="1"/>
          <w:docGrid w:type="lines" w:linePitch="312" w:charSpace="0"/>
        </w:sectPr>
      </w:pP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2025年“基层科普行动计划”资金</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昌吉回族自治州科学技术协会</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昌吉回族自治州科学技术协会</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55.82</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93.03%</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8.26</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55.82</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通过2025年基层科普行动计划资金项目，完成奖补科普先进集体和个人不少于3个；开展各类科普宣传和活动不少于26场次，打造科普阵地1个，在2025年12月10日前达到提升公民科学素质的目标，不断提升群众对科普活动的满意度。</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2026年6月30日，本项目支出资金55.82万元，资金执行率93.03%，本项目已经完成奖补科普先进集体和个人3个；开展各类科普宣传和活动26场次，打造科普阵地1个，达到了升公民科学素质的目标，不断提升群众对科普活动的满意度。</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奖补科普先进集体和个人数量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开展科普活动场次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&gt;=26场次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=26场次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打造科普阵地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开展全民科学素质水平调查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活动保障率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偏差原因为：截至12月10日资金未支付完，结转下年；下一年度改进措施：严格制定绩效目标，按序时进度完成支付进度。</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奖补科普先进集体和个人成本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开展科普活动成本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=25.82万元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偏差原因为：未按绩效目标完成支付任务，主要是讲课费劳务费未完成；下一年度改进措施：结转资金已被收回，严格按要求完成任务。</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打造科普阵地费用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&lt;=7.14万元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=7.14万元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偏差原因为：XXXX；下一年度改进措施：XXXX。</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开展全民科学素质水平调查费用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&lt;=7.86万元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=7.86万元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预算支出标准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提升公民科学素质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参与科普活动群众满意度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111.11%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为：我单位在前期设定满意度指标时，为确保项目产出的安全性和底线思维，设定了≥90%的保守目标值，故与实际完成值产生偏差；下一年度改进措施：总结本次项目的成功经验，在编制下一年度绩效目标时，结合实际执行能力，将满意度目标值适当上调，以此倒逼服务质量持续提升。</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90.46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州科协科学素质提升项目经费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昌吉回族自治州科学技术协会</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昌吉回族自治州科学技术协会</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92.80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92.80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90.35</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97.36%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92.80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92.80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90.35</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通过科学素质提升项目，完成科普阵地建设不少于1个，开展丰富多彩、形式多样的科普宣传活动不少于1次，组织科技工作者开展培训不少于1次，流动科技馆巡展不少于1次等等，达到科学知识传播，科学素质提升的目的。</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90.35万元，资金执行率97.36%，本项目实际完成90.35万元；完成科普阵地建设1个，开展丰富多彩、形式多样的科普宣传活动1次，组织科技工作者开展培训1次，流动科技馆巡展1次，通过本项目的实施，加强了科学素质项目的有效落实，有效促了科普资源高效配置，促进了公民科学素质稳步提升。</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与第三方合作开展各类科普活动数量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历史标准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打造新时代文明实践中心（站所）科普阵地数量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举办科普人才能力素质提升班次数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历史标准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开展流动科技馆巡展活动次数（玛纳斯）</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历史标准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培训出勤率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111.11%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6.22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此项指标已完成，存在偏差，偏差率为11.11%，偏差原因为年初设置指标时略为保守，项目在实施过程中完成良好，造成偏差；下一年度改进措施：年初设置指标更加明确、更加合理。</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与第三方合作开展各类科普活动成本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&lt;=39.5万元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=39.33万元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历史标准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53万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打造新时代文明实践中心（站所）科普阵地成本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=14.94万元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举办科普人才能力素质提升班成本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=19.23万元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历史标准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流动科技馆巡展（玛纳斯）成本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&lt;=2.80万元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历史标准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11.3万元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保障运行经费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&lt;=15.50万元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=14.04万元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提升公民科学素质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参与科普活动群众满意度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111.11%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此项指标已完成，存在偏差，偏差率为11.11%，偏差原因为年初设置指标时略为保守，项目在实施过程中完成良好，造成偏差；下一年度改进措施：年初设置指标更加明确、更加合理。</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99.22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机构运行补助经费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昌吉回族自治州科学技术协会</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昌吉回族自治州科学技术协会</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28.08</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25.28</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90.03%</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28.08</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25.28</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通过实施机关运行补助经费项目，完成保障办公人员数量18人，开展各类服务和科普活动不少于2次，达到单位部门正常运转，提高工作效率的目标。</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25.28万元，资金执行率90.03%，本项目实际完成完成保障办公人员数量18人，开展各类服务和科普活动2次；通过本项目的实施，加强了弥补科普能力建设资金问题，提升了机关运行能力，促进了单位高效正常运转的能力。</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保障办公人员数量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14人次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开展活动次数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委托第三方合作开展科普宣传</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购买科普实验器材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&gt;=1批</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活动保障率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经费支付及时率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福利和办公费用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&lt;=13.08万元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=10.81万元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开展各类服务、活动费用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=7.46万元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15.98万元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委托第三方服务费用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&lt;=4.50万元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开展科普活动费用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&lt;=2.50万元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保障部门单位运转正常，提高工作效率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单位职工满意度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111.11%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此项指标已完成，存在偏差，偏差率为11.11%，偏差原因为年初设置指标时略为保守，项目在实施过程中完成良好，造成偏差；下一年度改进措施：年初设置指标更加明确、更加合理。</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科学素质提升项目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昌吉回族自治州科学技术协会</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43.54</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43.54</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43.54</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43.54</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43.54</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43.54</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2025年下半年举办科技辅导员培训班1次，打造综合性科普阵地数量1个，举办科普座、流动科技馆1次，开展青少年科技竞赛1次。</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43.54万元，资金执行率100%，本项目实际完成43.54万元；完成科普阵地建设1个，开展丰富多彩、形式多样的科普宣传活动1次，组织科技辅导员培训班1次，流动科技馆巡展1次，通过本项目的实施，加强了科学素质项目的有效落实，有效促了科普资源高效配置，促进了公民科学素质稳步提升。</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举办科技辅导员培训班数量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打造综合性科普阵地数量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举办科普座谈、流动科技馆及科技馆信息化建设</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开展青少年科技竞赛</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科技辅导员培训出勤率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2025年11月15日前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2025年11月15日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开展青少年科技竞赛成本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&lt;=6.70万元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=6.7万元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打造综合性科普阵地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&lt;=19.37万元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=19.37万元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举办科技辅导员培训成本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举办科普座谈、流动科技馆、科技馆信息化建设</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&lt;=10.09万元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=10.09万元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保障运行经费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&lt;=3.38万元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=3.38万元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提升公民科学素质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达到年度指标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参与科普群众满意度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此项指标已完成，存在偏差，偏差率为5%，偏差原因为年初设置指标时略为保守，项目在实施过程中完成良好，造成偏差；下一年度改进措施：年初设置指标更加明确、更加合理。</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p>
      <w:pPr>
        <w:sectPr>
          <w:type w:val="continuous"/>
          <w:pgSz w:w="11906" w:h="16838"/>
          <w:pgMar w:top="1440" w:right="1800" w:bottom="1440" w:left="1800" w:header="851" w:footer="992" w:gutter="0"/>
          <w:cols w:space="720" w:num="1"/>
          <w:docGrid w:type="lines" w:linePitch="312" w:charSpace="0"/>
        </w:sectPr>
      </w:pPr>
    </w:p>
    <w:p>
      <w:pPr>
        <w:spacing w:line="640" w:lineRule="exact"/>
        <w:ind w:firstLine="640"/>
        <w:jc w:val="both"/>
        <w:outlineLvl w:val="2"/>
      </w:pPr>
      <w:r>
        <w:rPr>
          <w:rFonts w:ascii="黑体" w:hAnsi="黑体" w:eastAsia="黑体"/>
          <w:sz w:val="32"/>
        </w:rPr>
        <w:t>十二、其他需说明的事项</w:t>
      </w:r>
    </w:p>
    <w:p>
      <w:pPr>
        <w:spacing w:line="580" w:lineRule="exact"/>
        <w:ind w:firstLine="640"/>
        <w:jc w:val="both"/>
      </w:pPr>
      <w:r>
        <w:rPr>
          <w:rFonts w:ascii="仿宋_GB2312" w:hAnsi="仿宋_GB2312" w:eastAsia="仿宋_GB2312"/>
          <w:b w:val="0"/>
          <w:sz w:val="32"/>
        </w:rPr>
        <w:t>本单位无其他需说明的事项。</w:t>
      </w:r>
    </w:p>
    <w:p>
      <w:r>
        <w:br w:type="page"/>
      </w:r>
    </w:p>
    <w:p>
      <w:pPr>
        <w:spacing w:lineRule="exact" w:line="600"/>
        <w:jc w:val="center"/>
        <w:outlineLvl w:val="0"/>
      </w:pPr>
      <w:r>
        <w:rPr>
          <w:rFonts w:ascii="黑体" w:hAnsi="黑体" w:eastAsia="黑体"/>
          <w:sz w:val="32"/>
        </w:rPr>
        <w:t>第三部分 专业名词解释</w:t>
      </w:r>
    </w:p>
    <w:p>
      <w:pPr>
        <w:spacing w:lineRule="exact" w:line="600"/>
        <w:ind w:firstLine="643" w:firstLineChars="200"/>
        <w:autoSpaceDE w:val="0"/>
        <w:autoSpaceDN w:val="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pPr>
        <w:spacing w:lineRule="exact" w:line="600"/>
        <w:ind w:firstLine="643" w:firstLineChars="200"/>
        <w:autoSpaceDE w:val="0"/>
        <w:autoSpaceDN w:val="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pPr>
        <w:spacing w:lineRule="exact" w:line="600"/>
        <w:ind w:firstLine="643" w:firstLineChars="200"/>
        <w:autoSpaceDE w:val="0"/>
        <w:autoSpaceDN w:val="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pPr>
        <w:spacing w:lineRule="exact" w:line="600"/>
        <w:ind w:firstLine="643" w:firstLineChars="200"/>
        <w:autoSpaceDE w:val="0"/>
        <w:autoSpaceDN w:val="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pPr>
        <w:spacing w:lineRule="exact" w:line="600"/>
        <w:ind w:firstLine="643" w:firstLineChars="200"/>
        <w:autoSpaceDE w:val="0"/>
        <w:autoSpaceDN w:val="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pPr>
        <w:spacing w:lineRule="exact" w:line="600"/>
        <w:ind w:firstLine="643" w:firstLineChars="200"/>
        <w:autoSpaceDE w:val="0"/>
        <w:autoSpaceDN w:val="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pPr>
        <w:spacing w:lineRule="exact" w:line="600"/>
        <w:ind w:firstLine="643" w:firstLineChars="200"/>
        <w:autoSpaceDE w:val="0"/>
        <w:autoSpaceDN w:val="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pPr>
        <w:spacing w:lineRule="exact" w:line="600"/>
        <w:ind w:firstLine="643" w:firstLineChars="200"/>
        <w:autoSpaceDE w:val="0"/>
        <w:autoSpaceDN w:val="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pPr>
        <w:spacing w:lineRule="exact" w:line="600"/>
        <w:ind w:firstLine="643" w:firstLineChars="200"/>
        <w:autoSpaceDE w:val="0"/>
        <w:autoSpaceDN w:val="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pPr>
        <w:spacing w:lineRule="exact" w:line="600"/>
        <w:ind w:firstLine="643" w:firstLineChars="200"/>
        <w:autoSpaceDE w:val="0"/>
        <w:autoSpaceDN w:val="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pPr>
        <w:spacing w:lineRule="exact" w:line="600"/>
        <w:ind w:firstLine="643" w:firstLineChars="200"/>
        <w:autoSpaceDE w:val="0"/>
        <w:autoSpaceDN w:val="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pPr>
        <w:spacing w:lineRule="exact" w:line="600"/>
        <w:ind w:firstLine="643" w:firstLineChars="200"/>
        <w:autoSpaceDE w:val="0"/>
        <w:autoSpaceDN w:val="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pPr>
        <w:spacing w:lineRule="exact" w:line="600"/>
        <w:ind w:firstLine="643" w:firstLineChars="200"/>
        <w:autoSpaceDE w:val="0"/>
        <w:autoSpaceDN w:val="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pPr>
        <w:spacing w:lineRule="exact" w:line="600"/>
        <w:ind w:firstLine="643" w:firstLineChars="200"/>
        <w:autoSpaceDE w:val="0"/>
        <w:autoSpaceDN w:val="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pPr>
        <w:spacing w:lineRule="exact" w:line="600"/>
        <w:ind w:firstLine="643" w:firstLineChars="200"/>
        <w:autoSpaceDE w:val="0"/>
        <w:autoSpaceDN w:val="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r>
        <w:br w:type="page"/>
      </w:r>
    </w:p>
    <w:p>
      <w:pPr>
        <w:spacing w:line="240" w:lineRule="auto"/>
        <w:jc w:val="center"/>
        <w:outlineLvl w:val="1"/>
      </w:pPr>
      <w:r>
        <w:rPr>
          <w:rFonts w:ascii="黑体" w:hAnsi="黑体" w:eastAsia="黑体"/>
          <w:sz w:val="32"/>
        </w:rPr>
        <w:t>第四部分 部门决算报表（见附表）</w:t>
      </w:r>
    </w:p>
    <w:p>
      <w:pPr>
        <w:spacing w:lineRule="exact" w:line="600"/>
        <w:ind w:firstLine="643" w:firstLineChars="200"/>
        <w:autoSpaceDE w:val="0"/>
        <w:autoSpaceDN w:val="0"/>
      </w:pPr>
      <w:r>
        <w:rPr>
          <w:rFonts w:ascii="仿宋_GB2312" w:hAnsi="仿宋_GB2312" w:eastAsia="仿宋_GB2312"/>
          <w:b w:val="0"/>
          <w:sz w:val="32"/>
        </w:rPr>
        <w:t>一、《收入支出决算总表》</w:t>
      </w:r>
    </w:p>
    <w:p>
      <w:pPr>
        <w:spacing w:lineRule="exact" w:line="600"/>
        <w:ind w:firstLine="643" w:firstLineChars="200"/>
        <w:autoSpaceDE w:val="0"/>
        <w:autoSpaceDN w:val="0"/>
      </w:pPr>
      <w:r>
        <w:rPr>
          <w:rFonts w:ascii="仿宋_GB2312" w:hAnsi="仿宋_GB2312" w:eastAsia="仿宋_GB2312"/>
          <w:b w:val="0"/>
          <w:sz w:val="32"/>
        </w:rPr>
        <w:t>二、《收入决算表》</w:t>
      </w:r>
    </w:p>
    <w:p>
      <w:pPr>
        <w:spacing w:lineRule="exact" w:line="600"/>
        <w:ind w:firstLine="643" w:firstLineChars="200"/>
        <w:autoSpaceDE w:val="0"/>
        <w:autoSpaceDN w:val="0"/>
      </w:pPr>
      <w:r>
        <w:rPr>
          <w:rFonts w:ascii="仿宋_GB2312" w:hAnsi="仿宋_GB2312" w:eastAsia="仿宋_GB2312"/>
          <w:b w:val="0"/>
          <w:sz w:val="32"/>
        </w:rPr>
        <w:t>三、《支出决算表》</w:t>
      </w:r>
    </w:p>
    <w:p>
      <w:pPr>
        <w:spacing w:lineRule="exact" w:line="600"/>
        <w:ind w:firstLine="643" w:firstLineChars="200"/>
        <w:autoSpaceDE w:val="0"/>
        <w:autoSpaceDN w:val="0"/>
      </w:pPr>
      <w:r>
        <w:rPr>
          <w:rFonts w:ascii="仿宋_GB2312" w:hAnsi="仿宋_GB2312" w:eastAsia="仿宋_GB2312"/>
          <w:b w:val="0"/>
          <w:sz w:val="32"/>
        </w:rPr>
        <w:t>四、《财政拨款收入支出决算总表》</w:t>
      </w:r>
    </w:p>
    <w:p>
      <w:pPr>
        <w:spacing w:lineRule="exact" w:line="600"/>
        <w:ind w:firstLine="643" w:firstLineChars="200"/>
        <w:autoSpaceDE w:val="0"/>
        <w:autoSpaceDN w:val="0"/>
      </w:pPr>
      <w:r>
        <w:rPr>
          <w:rFonts w:ascii="仿宋_GB2312" w:hAnsi="仿宋_GB2312" w:eastAsia="仿宋_GB2312"/>
          <w:b w:val="0"/>
          <w:sz w:val="32"/>
        </w:rPr>
        <w:t>五、《一般公共预算财政拨款支出决算表》</w:t>
      </w:r>
    </w:p>
    <w:p>
      <w:pPr>
        <w:spacing w:lineRule="exact" w:line="600"/>
        <w:ind w:firstLine="643" w:firstLineChars="200"/>
        <w:autoSpaceDE w:val="0"/>
        <w:autoSpaceDN w:val="0"/>
      </w:pPr>
      <w:r>
        <w:rPr>
          <w:rFonts w:ascii="仿宋_GB2312" w:hAnsi="仿宋_GB2312" w:eastAsia="仿宋_GB2312"/>
          <w:b w:val="0"/>
          <w:sz w:val="32"/>
        </w:rPr>
        <w:t>六、《一般公共预算财政拨款基本支出决算表》</w:t>
      </w:r>
    </w:p>
    <w:p>
      <w:pPr>
        <w:spacing w:lineRule="exact" w:line="600"/>
        <w:ind w:firstLine="643" w:firstLineChars="200"/>
        <w:autoSpaceDE w:val="0"/>
        <w:autoSpaceDN w:val="0"/>
      </w:pPr>
      <w:r>
        <w:rPr>
          <w:rFonts w:ascii="仿宋_GB2312" w:hAnsi="仿宋_GB2312" w:eastAsia="仿宋_GB2312"/>
          <w:b w:val="0"/>
          <w:sz w:val="32"/>
        </w:rPr>
        <w:t>七、《政府性基金预算财政拨款收入支出决算表》</w:t>
      </w:r>
    </w:p>
    <w:p>
      <w:pPr>
        <w:spacing w:lineRule="exact" w:line="600"/>
        <w:ind w:firstLine="643" w:firstLineChars="200"/>
        <w:autoSpaceDE w:val="0"/>
        <w:autoSpaceDN w:val="0"/>
      </w:pPr>
      <w:r>
        <w:rPr>
          <w:rFonts w:ascii="仿宋_GB2312" w:hAnsi="仿宋_GB2312" w:eastAsia="仿宋_GB2312"/>
          <w:b w:val="0"/>
          <w:sz w:val="32"/>
        </w:rPr>
        <w:t>八、《国有资本经营预算财政拨款收入支出决算表》</w:t>
      </w:r>
    </w:p>
    <w:p>
      <w:pPr>
        <w:spacing w:lineRule="exact" w:line="600"/>
        <w:ind w:firstLine="643" w:firstLineChars="200"/>
        <w:autoSpaceDE w:val="0"/>
        <w:autoSpaceDN w:val="0"/>
      </w:pPr>
      <w:r>
        <w:rPr>
          <w:rFonts w:ascii="仿宋_GB2312" w:hAnsi="仿宋_GB2312" w:eastAsia="仿宋_GB2312"/>
          <w:b w:val="0"/>
          <w:sz w:val="32"/>
        </w:rPr>
        <w:t>九、《财政拨款“三公”经费支出决算表》</w:t>
      </w: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A382358-5FB0-4BFB-AA9D-340FD89383C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0000000000000000000"/>
    <w:charset w:val="86"/>
    <w:family w:val="script"/>
    <w:pitch w:val="default"/>
    <w:sig w:usb0="00000000" w:usb1="00000000" w:usb2="00082016" w:usb3="00000000" w:csb0="00040001" w:csb1="00000000"/>
    <w:embedRegular r:id="rId2" w:fontKey="{B0E6D792-6E8F-4F84-99FA-9970FA3A7C22}"/>
  </w:font>
  <w:font w:name="仿宋_GB2312">
    <w:altName w:val="微软雅黑"/>
    <w:panose1 w:val="02010609030101010101"/>
    <w:charset w:val="86"/>
    <w:family w:val="modern"/>
    <w:pitch w:val="default"/>
    <w:sig w:usb0="00000001" w:usb1="080E0000" w:usb2="00000000" w:usb3="00000000" w:csb0="00040000" w:csb1="00000000"/>
    <w:embedRegular r:id="rId3" w:fontKey="{45C515A8-30E2-40B7-BB08-E73601327DDD}"/>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3</Pages>
  <Words>519</Words>
  <Characters>537</Characters>
  <Lines>10</Lines>
  <Paragraphs>2</Paragraphs>
  <TotalTime>7</TotalTime>
  <ScaleCrop>false</ScaleCrop>
  <LinksUpToDate>false</LinksUpToDate>
  <CharactersWithSpaces>543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净</cp:lastModifiedBy>
  <cp:lastPrinted>2024-07-22T11:58:00Z</cp:lastPrinted>
  <dcterms:modified xsi:type="dcterms:W3CDTF">2026-08-25T03:09:34Z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8FDA567F26D84A8C8A1B02E29FDE1AE6_13</vt:lpwstr>
  </property>
  <property fmtid="{D5CDD505-2E9C-101B-9397-08002B2CF9AE}" pid="4" name="KSOTemplateDocerSaveRecord">
    <vt:lpwstr>eyJoZGlkIjoiYzdkNWY5OGM4OTRiMDBlYmMyNmZmZGZhMDgxMzY1MzQiLCJ1c2VySWQiOiI0MDU5MTQxNzUifQ==</vt:lpwstr>
  </property>
</Properties>
</file>