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DE1098">
      <w:pPr>
        <w:rPr>
          <w:rFonts w:hint="eastAsia" w:ascii="黑体" w:hAnsi="黑体" w:eastAsia="黑体"/>
          <w:sz w:val="32"/>
          <w:szCs w:val="32"/>
        </w:rPr>
      </w:pPr>
    </w:p>
    <w:p w14:paraId="7E2F62AB">
      <w:pPr>
        <w:jc w:val="center"/>
        <w:rPr>
          <w:rFonts w:hint="eastAsia" w:ascii="方正小标宋_GBK" w:hAnsi="宋体" w:eastAsia="方正小标宋_GBK"/>
          <w:sz w:val="44"/>
          <w:szCs w:val="44"/>
        </w:rPr>
      </w:pPr>
    </w:p>
    <w:p w14:paraId="7AE936F3">
      <w:pPr>
        <w:jc w:val="center"/>
        <w:rPr>
          <w:rFonts w:hint="eastAsia" w:ascii="方正小标宋_GBK" w:hAnsi="宋体" w:eastAsia="方正小标宋_GBK"/>
          <w:sz w:val="44"/>
          <w:szCs w:val="44"/>
        </w:rPr>
      </w:pPr>
    </w:p>
    <w:p w14:paraId="5FEDF9CB">
      <w:pPr>
        <w:jc w:val="center"/>
        <w:rPr>
          <w:rFonts w:hint="eastAsia" w:ascii="方正小标宋_GBK" w:hAnsi="宋体" w:eastAsia="方正小标宋_GBK"/>
          <w:sz w:val="44"/>
          <w:szCs w:val="44"/>
        </w:rPr>
      </w:pPr>
    </w:p>
    <w:p w14:paraId="4794C1C7">
      <w:pPr>
        <w:jc w:val="center"/>
        <w:rPr>
          <w:rFonts w:hint="eastAsia" w:ascii="方正小标宋_GBK" w:hAnsi="宋体" w:eastAsia="方正小标宋_GBK"/>
          <w:sz w:val="44"/>
          <w:szCs w:val="44"/>
        </w:rPr>
      </w:pPr>
    </w:p>
    <w:p w14:paraId="2FB3E0A1">
      <w:pPr>
        <w:spacing w:line="64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昌吉回族自治州疾病预防控制中心（昌吉回族自治州卫生监督所）</w:t>
      </w:r>
    </w:p>
    <w:p w14:paraId="55AD8026">
      <w:pPr>
        <w:spacing w:line="64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2025年度部门决算公开说明</w:t>
      </w:r>
      <w:bookmarkStart w:id="0" w:name="_GoBack"/>
      <w:bookmarkEnd w:id="0"/>
      <w:r>
        <w:rPr>
          <w:rFonts w:hint="eastAsia" w:ascii="方正小标宋_GBK" w:hAnsi="宋体" w:eastAsia="方正小标宋_GBK"/>
          <w:sz w:val="44"/>
          <w:szCs w:val="44"/>
        </w:rPr>
        <w:t/>
      </w:r>
    </w:p>
    <w:p w14:paraId="7C1A23FE">
      <w:pPr>
        <w:spacing w:line="600" w:lineRule="exact"/>
        <w:jc w:val="center"/>
        <w:rPr>
          <w:rFonts w:hint="eastAsia" w:ascii="仿宋_GB2312" w:hAnsi="仿宋_GB2312" w:eastAsia="仿宋_GB2312" w:cs="仿宋_GB2312"/>
          <w:bCs/>
          <w:kern w:val="0"/>
          <w:sz w:val="32"/>
          <w:szCs w:val="32"/>
        </w:rPr>
      </w:pPr>
      <w:r>
        <w:rPr>
          <w:rFonts w:hint="eastAsia" w:ascii="方正小标宋_GBK" w:hAnsi="宋体" w:eastAsia="方正小标宋_GBK"/>
          <w:sz w:val="44"/>
          <w:szCs w:val="44"/>
        </w:rPr>
        <w:br w:type="page"/>
      </w:r>
      <w:r>
        <w:rPr>
          <w:rFonts w:hint="eastAsia" w:ascii="仿宋_GB2312" w:hAnsi="仿宋_GB2312" w:eastAsia="仿宋_GB2312" w:cs="仿宋_GB2312"/>
          <w:b/>
          <w:kern w:val="0"/>
          <w:sz w:val="36"/>
          <w:szCs w:val="36"/>
        </w:rPr>
        <w:t>目  录</w:t>
      </w:r>
    </w:p>
    <w:p w14:paraId="11E3C096">
      <w:pPr>
        <w:pStyle w:val="6"/>
        <w:tabs>
          <w:tab w:val="right" w:leader="dot" w:pos="8306"/>
        </w:tabs>
        <w:spacing w:line="6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TOC \o "1-3" \n  \h \u </w:instrText>
      </w:r>
      <w:r>
        <w:rPr>
          <w:rFonts w:hint="eastAsia" w:ascii="仿宋_GB2312" w:hAnsi="仿宋_GB2312" w:eastAsia="仿宋_GB2312" w:cs="仿宋_GB2312"/>
          <w:sz w:val="32"/>
          <w:szCs w:val="32"/>
        </w:rPr>
        <w:fldChar w:fldCharType="separate"/>
      </w:r>
      <w:r>
        <w:fldChar w:fldCharType="begin"/>
      </w:r>
      <w:r>
        <w:instrText xml:space="preserve"> HYPERLINK \l "_Toc31918" </w:instrText>
      </w:r>
      <w:r>
        <w:fldChar w:fldCharType="separate"/>
      </w:r>
      <w:r>
        <w:rPr>
          <w:rFonts w:hint="eastAsia" w:ascii="仿宋_GB2312" w:hAnsi="仿宋_GB2312" w:eastAsia="仿宋_GB2312" w:cs="仿宋_GB2312"/>
          <w:b/>
          <w:bCs/>
          <w:sz w:val="32"/>
          <w:szCs w:val="32"/>
        </w:rPr>
        <w:t>第一部分 单位概况</w:t>
      </w:r>
      <w:r>
        <w:rPr>
          <w:rFonts w:hint="eastAsia" w:ascii="仿宋_GB2312" w:hAnsi="仿宋_GB2312" w:eastAsia="仿宋_GB2312" w:cs="仿宋_GB2312"/>
          <w:b/>
          <w:bCs/>
          <w:sz w:val="32"/>
          <w:szCs w:val="32"/>
        </w:rPr>
        <w:fldChar w:fldCharType="end"/>
      </w:r>
    </w:p>
    <w:p w14:paraId="695FF0F6">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"_Toc2898" </w:instrText>
      </w:r>
      <w:r>
        <w:fldChar w:fldCharType="separate"/>
      </w:r>
      <w:r>
        <w:rPr>
          <w:rFonts w:hint="eastAsia" w:ascii="仿宋_GB2312" w:hAnsi="仿宋_GB2312" w:eastAsia="仿宋_GB2312" w:cs="仿宋_GB2312"/>
          <w:bCs/>
          <w:kern w:val="0"/>
          <w:sz w:val="32"/>
          <w:szCs w:val="32"/>
        </w:rPr>
        <w:t>一、主要职能</w:t>
      </w:r>
      <w:r>
        <w:rPr>
          <w:rFonts w:hint="eastAsia" w:ascii="仿宋_GB2312" w:hAnsi="仿宋_GB2312" w:eastAsia="仿宋_GB2312" w:cs="仿宋_GB2312"/>
          <w:bCs/>
          <w:kern w:val="0"/>
          <w:sz w:val="32"/>
          <w:szCs w:val="32"/>
        </w:rPr>
        <w:fldChar w:fldCharType="end"/>
      </w:r>
    </w:p>
    <w:p w14:paraId="20AC0F98">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"_Toc1387" </w:instrText>
      </w:r>
      <w:r>
        <w:fldChar w:fldCharType="separate"/>
      </w:r>
      <w:r>
        <w:rPr>
          <w:rFonts w:hint="eastAsia" w:ascii="仿宋_GB2312" w:hAnsi="仿宋_GB2312" w:eastAsia="仿宋_GB2312" w:cs="仿宋_GB2312"/>
          <w:bCs/>
          <w:kern w:val="0"/>
          <w:sz w:val="32"/>
          <w:szCs w:val="32"/>
        </w:rPr>
        <w:t>二、机构设置</w:t>
      </w:r>
      <w:r>
        <w:rPr>
          <w:rFonts w:hint="eastAsia" w:ascii="仿宋_GB2312" w:hAnsi="仿宋_GB2312" w:eastAsia="仿宋_GB2312" w:cs="仿宋_GB2312"/>
          <w:bCs/>
          <w:kern w:val="0"/>
          <w:sz w:val="32"/>
          <w:szCs w:val="32"/>
        </w:rPr>
        <w:fldChar w:fldCharType="end"/>
      </w:r>
    </w:p>
    <w:p w14:paraId="03DF0839">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"_Toc7559" </w:instrText>
      </w:r>
      <w:r>
        <w:fldChar w:fldCharType="separate"/>
      </w:r>
      <w:r>
        <w:rPr>
          <w:rFonts w:hint="eastAsia" w:ascii="仿宋_GB2312" w:hAnsi="仿宋_GB2312" w:eastAsia="仿宋_GB2312" w:cs="仿宋_GB2312"/>
          <w:b/>
          <w:bCs/>
          <w:sz w:val="32"/>
          <w:szCs w:val="32"/>
        </w:rPr>
        <w:t>第二部分 部门决算情况说明</w:t>
      </w:r>
      <w:r>
        <w:rPr>
          <w:rFonts w:hint="eastAsia" w:ascii="仿宋_GB2312" w:hAnsi="仿宋_GB2312" w:eastAsia="仿宋_GB2312" w:cs="仿宋_GB2312"/>
          <w:b/>
          <w:bCs/>
          <w:sz w:val="32"/>
          <w:szCs w:val="32"/>
        </w:rPr>
        <w:fldChar w:fldCharType="end"/>
      </w:r>
    </w:p>
    <w:p w14:paraId="1E4B298F">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"_Toc6321" </w:instrText>
      </w:r>
      <w:r>
        <w:fldChar w:fldCharType="separate"/>
      </w:r>
      <w:r>
        <w:rPr>
          <w:rFonts w:hint="eastAsia" w:ascii="仿宋_GB2312" w:hAnsi="仿宋_GB2312" w:eastAsia="仿宋_GB2312" w:cs="仿宋_GB2312"/>
          <w:bCs/>
          <w:kern w:val="0"/>
          <w:sz w:val="32"/>
          <w:szCs w:val="32"/>
        </w:rPr>
        <w:t>一、收入支出决算总体情况说明</w:t>
      </w:r>
      <w:r>
        <w:rPr>
          <w:rFonts w:hint="eastAsia" w:ascii="仿宋_GB2312" w:hAnsi="仿宋_GB2312" w:eastAsia="仿宋_GB2312" w:cs="仿宋_GB2312"/>
          <w:bCs/>
          <w:kern w:val="0"/>
          <w:sz w:val="32"/>
          <w:szCs w:val="32"/>
        </w:rPr>
        <w:fldChar w:fldCharType="end"/>
      </w:r>
    </w:p>
    <w:p w14:paraId="448604E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"_Toc6311" </w:instrText>
      </w:r>
      <w:r>
        <w:fldChar w:fldCharType="separate"/>
      </w:r>
      <w:r>
        <w:rPr>
          <w:rFonts w:hint="eastAsia" w:ascii="仿宋_GB2312" w:hAnsi="仿宋_GB2312" w:eastAsia="仿宋_GB2312" w:cs="仿宋_GB2312"/>
          <w:bCs/>
          <w:kern w:val="0"/>
          <w:sz w:val="32"/>
          <w:szCs w:val="32"/>
        </w:rPr>
        <w:t>二、收入决算情况说明</w:t>
      </w:r>
      <w:r>
        <w:rPr>
          <w:rFonts w:hint="eastAsia" w:ascii="仿宋_GB2312" w:hAnsi="仿宋_GB2312" w:eastAsia="仿宋_GB2312" w:cs="仿宋_GB2312"/>
          <w:bCs/>
          <w:kern w:val="0"/>
          <w:sz w:val="32"/>
          <w:szCs w:val="32"/>
        </w:rPr>
        <w:fldChar w:fldCharType="end"/>
      </w:r>
    </w:p>
    <w:p w14:paraId="6477D7D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"_Toc20629" </w:instrText>
      </w:r>
      <w:r>
        <w:fldChar w:fldCharType="separate"/>
      </w:r>
      <w:r>
        <w:rPr>
          <w:rFonts w:hint="eastAsia" w:ascii="仿宋_GB2312" w:hAnsi="仿宋_GB2312" w:eastAsia="仿宋_GB2312" w:cs="仿宋_GB2312"/>
          <w:bCs/>
          <w:kern w:val="0"/>
          <w:sz w:val="32"/>
          <w:szCs w:val="32"/>
        </w:rPr>
        <w:t>三、支出决算情况说明</w:t>
      </w:r>
      <w:r>
        <w:rPr>
          <w:rFonts w:hint="eastAsia" w:ascii="仿宋_GB2312" w:hAnsi="仿宋_GB2312" w:eastAsia="仿宋_GB2312" w:cs="仿宋_GB2312"/>
          <w:bCs/>
          <w:kern w:val="0"/>
          <w:sz w:val="32"/>
          <w:szCs w:val="32"/>
        </w:rPr>
        <w:fldChar w:fldCharType="end"/>
      </w:r>
    </w:p>
    <w:p w14:paraId="64A0CBA4">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"_Toc7371" </w:instrText>
      </w:r>
      <w:r>
        <w:fldChar w:fldCharType="separate"/>
      </w:r>
      <w:r>
        <w:rPr>
          <w:rFonts w:hint="eastAsia" w:ascii="仿宋_GB2312" w:hAnsi="仿宋_GB2312" w:eastAsia="仿宋_GB2312" w:cs="仿宋_GB2312"/>
          <w:bCs/>
          <w:kern w:val="0"/>
          <w:sz w:val="32"/>
          <w:szCs w:val="32"/>
        </w:rPr>
        <w:t>四、财政拨款收入支出决算总体情况说明</w:t>
      </w:r>
      <w:r>
        <w:rPr>
          <w:rFonts w:hint="eastAsia" w:ascii="仿宋_GB2312" w:hAnsi="仿宋_GB2312" w:eastAsia="仿宋_GB2312" w:cs="仿宋_GB2312"/>
          <w:bCs/>
          <w:kern w:val="0"/>
          <w:sz w:val="32"/>
          <w:szCs w:val="32"/>
        </w:rPr>
        <w:fldChar w:fldCharType="end"/>
      </w:r>
    </w:p>
    <w:p w14:paraId="07B13FA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"_Toc18905" </w:instrText>
      </w:r>
      <w:r>
        <w:fldChar w:fldCharType="separate"/>
      </w:r>
      <w:r>
        <w:rPr>
          <w:rFonts w:hint="eastAsia" w:ascii="仿宋_GB2312" w:hAnsi="仿宋_GB2312" w:eastAsia="仿宋_GB2312" w:cs="仿宋_GB2312"/>
          <w:bCs/>
          <w:kern w:val="0"/>
          <w:sz w:val="32"/>
          <w:szCs w:val="32"/>
        </w:rPr>
        <w:t>五、一般公共预算财政拨款支出决算情况说明</w:t>
      </w:r>
      <w:r>
        <w:rPr>
          <w:rFonts w:hint="eastAsia" w:ascii="仿宋_GB2312" w:hAnsi="仿宋_GB2312" w:eastAsia="仿宋_GB2312" w:cs="仿宋_GB2312"/>
          <w:bCs/>
          <w:kern w:val="0"/>
          <w:sz w:val="32"/>
          <w:szCs w:val="32"/>
        </w:rPr>
        <w:fldChar w:fldCharType="end"/>
      </w:r>
    </w:p>
    <w:p w14:paraId="35E4954F">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"_Toc1165" </w:instrText>
      </w:r>
      <w:r>
        <w:fldChar w:fldCharType="separate"/>
      </w:r>
      <w:r>
        <w:rPr>
          <w:rFonts w:hint="eastAsia" w:ascii="仿宋_GB2312" w:hAnsi="仿宋_GB2312" w:eastAsia="仿宋_GB2312" w:cs="仿宋_GB2312"/>
          <w:sz w:val="32"/>
          <w:szCs w:val="32"/>
        </w:rPr>
        <w:t>（一）一般公共预算财政拨款支出决算总体情况</w:t>
      </w:r>
      <w:r>
        <w:rPr>
          <w:rFonts w:hint="eastAsia" w:ascii="仿宋_GB2312" w:hAnsi="仿宋_GB2312" w:eastAsia="仿宋_GB2312" w:cs="仿宋_GB2312"/>
          <w:sz w:val="32"/>
          <w:szCs w:val="32"/>
        </w:rPr>
        <w:fldChar w:fldCharType="end"/>
      </w:r>
    </w:p>
    <w:p w14:paraId="1D40B9CA">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"_Toc27147" </w:instrText>
      </w:r>
      <w:r>
        <w:fldChar w:fldCharType="separate"/>
      </w:r>
      <w:r>
        <w:rPr>
          <w:rFonts w:hint="eastAsia" w:ascii="仿宋_GB2312" w:hAnsi="仿宋_GB2312" w:eastAsia="仿宋_GB2312" w:cs="仿宋_GB2312"/>
          <w:sz w:val="32"/>
          <w:szCs w:val="32"/>
        </w:rPr>
        <w:t>（二）一般公共预算财政拨款支出决算结构情况</w:t>
      </w:r>
      <w:r>
        <w:rPr>
          <w:rFonts w:hint="eastAsia" w:ascii="仿宋_GB2312" w:hAnsi="仿宋_GB2312" w:eastAsia="仿宋_GB2312" w:cs="仿宋_GB2312"/>
          <w:sz w:val="32"/>
          <w:szCs w:val="32"/>
        </w:rPr>
        <w:fldChar w:fldCharType="end"/>
      </w:r>
    </w:p>
    <w:p w14:paraId="572435CD">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"_Toc10037" </w:instrText>
      </w:r>
      <w:r>
        <w:fldChar w:fldCharType="separate"/>
      </w:r>
      <w:r>
        <w:rPr>
          <w:rFonts w:hint="eastAsia" w:ascii="仿宋_GB2312" w:hAnsi="仿宋_GB2312" w:eastAsia="仿宋_GB2312" w:cs="仿宋_GB2312"/>
          <w:sz w:val="32"/>
          <w:szCs w:val="32"/>
        </w:rPr>
        <w:t>（三）一般公共预算财政拨款支出决算具体情况</w:t>
      </w:r>
      <w:r>
        <w:rPr>
          <w:rFonts w:hint="eastAsia" w:ascii="仿宋_GB2312" w:hAnsi="仿宋_GB2312" w:eastAsia="仿宋_GB2312" w:cs="仿宋_GB2312"/>
          <w:sz w:val="32"/>
          <w:szCs w:val="32"/>
        </w:rPr>
        <w:fldChar w:fldCharType="end"/>
      </w:r>
    </w:p>
    <w:p w14:paraId="2330D4E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"_Toc23415" </w:instrText>
      </w:r>
      <w:r>
        <w:fldChar w:fldCharType="separate"/>
      </w:r>
      <w:r>
        <w:rPr>
          <w:rFonts w:hint="eastAsia" w:ascii="仿宋_GB2312" w:hAnsi="仿宋_GB2312" w:eastAsia="仿宋_GB2312" w:cs="仿宋_GB2312"/>
          <w:bCs/>
          <w:kern w:val="0"/>
          <w:sz w:val="32"/>
          <w:szCs w:val="32"/>
        </w:rPr>
        <w:t>六、一般公共预算财政拨款基本支出决算情况说明</w:t>
      </w:r>
      <w:r>
        <w:rPr>
          <w:rFonts w:hint="eastAsia" w:ascii="仿宋_GB2312" w:hAnsi="仿宋_GB2312" w:eastAsia="仿宋_GB2312" w:cs="仿宋_GB2312"/>
          <w:bCs/>
          <w:kern w:val="0"/>
          <w:sz w:val="32"/>
          <w:szCs w:val="32"/>
        </w:rPr>
        <w:fldChar w:fldCharType="end"/>
      </w:r>
    </w:p>
    <w:p w14:paraId="2363D305">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"_Toc7523" </w:instrText>
      </w:r>
      <w:r>
        <w:fldChar w:fldCharType="separate"/>
      </w:r>
      <w:r>
        <w:rPr>
          <w:rFonts w:hint="eastAsia" w:ascii="仿宋_GB2312" w:hAnsi="仿宋_GB2312" w:eastAsia="仿宋_GB2312" w:cs="仿宋_GB2312"/>
          <w:bCs/>
          <w:kern w:val="0"/>
          <w:sz w:val="32"/>
          <w:szCs w:val="32"/>
        </w:rPr>
        <w:t>七、政府性基金预算财政拨款收入支出决算情况说明</w:t>
      </w:r>
      <w:r>
        <w:rPr>
          <w:rFonts w:hint="eastAsia" w:ascii="仿宋_GB2312" w:hAnsi="仿宋_GB2312" w:eastAsia="仿宋_GB2312" w:cs="仿宋_GB2312"/>
          <w:bCs/>
          <w:kern w:val="0"/>
          <w:sz w:val="32"/>
          <w:szCs w:val="32"/>
        </w:rPr>
        <w:fldChar w:fldCharType="end"/>
      </w:r>
    </w:p>
    <w:p w14:paraId="47A33664">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"_Toc5563" </w:instrText>
      </w:r>
      <w:r>
        <w:fldChar w:fldCharType="separate"/>
      </w:r>
      <w:r>
        <w:rPr>
          <w:rFonts w:hint="eastAsia" w:ascii="仿宋_GB2312" w:hAnsi="仿宋_GB2312" w:eastAsia="仿宋_GB2312" w:cs="仿宋_GB2312"/>
          <w:bCs/>
          <w:kern w:val="0"/>
          <w:sz w:val="32"/>
          <w:szCs w:val="32"/>
        </w:rPr>
        <w:t>八、国有资本经营预算财政拨款收入支出决算情况说明</w:t>
      </w:r>
      <w:r>
        <w:rPr>
          <w:rFonts w:hint="eastAsia" w:ascii="仿宋_GB2312" w:hAnsi="仿宋_GB2312" w:eastAsia="仿宋_GB2312" w:cs="仿宋_GB2312"/>
          <w:bCs/>
          <w:kern w:val="0"/>
          <w:sz w:val="32"/>
          <w:szCs w:val="32"/>
        </w:rPr>
        <w:fldChar w:fldCharType="end"/>
      </w:r>
    </w:p>
    <w:p w14:paraId="5B6A706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"_Toc9161" </w:instrText>
      </w:r>
      <w:r>
        <w:fldChar w:fldCharType="separate"/>
      </w:r>
      <w:r>
        <w:rPr>
          <w:rFonts w:hint="eastAsia" w:ascii="仿宋_GB2312" w:hAnsi="仿宋_GB2312" w:eastAsia="仿宋_GB2312" w:cs="仿宋_GB2312"/>
          <w:bCs/>
          <w:kern w:val="0"/>
          <w:sz w:val="32"/>
          <w:szCs w:val="32"/>
        </w:rPr>
        <w:t>九、财政拨款“三公”经费支出决算情况说明</w:t>
      </w:r>
      <w:r>
        <w:rPr>
          <w:rFonts w:hint="eastAsia" w:ascii="仿宋_GB2312" w:hAnsi="仿宋_GB2312" w:eastAsia="仿宋_GB2312" w:cs="仿宋_GB2312"/>
          <w:bCs/>
          <w:kern w:val="0"/>
          <w:sz w:val="32"/>
          <w:szCs w:val="32"/>
        </w:rPr>
        <w:fldChar w:fldCharType="end"/>
      </w:r>
    </w:p>
    <w:p w14:paraId="1D67ADC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"_Toc16395" </w:instrText>
      </w:r>
      <w:r>
        <w:fldChar w:fldCharType="separate"/>
      </w:r>
      <w:r>
        <w:rPr>
          <w:rFonts w:hint="eastAsia" w:ascii="仿宋_GB2312" w:hAnsi="仿宋_GB2312" w:eastAsia="仿宋_GB2312" w:cs="仿宋_GB2312"/>
          <w:bCs/>
          <w:kern w:val="0"/>
          <w:sz w:val="32"/>
          <w:szCs w:val="32"/>
        </w:rPr>
        <w:t>十、其他重要事项的情况说明</w:t>
      </w:r>
      <w:r>
        <w:rPr>
          <w:rFonts w:hint="eastAsia" w:ascii="仿宋_GB2312" w:hAnsi="仿宋_GB2312" w:eastAsia="仿宋_GB2312" w:cs="仿宋_GB2312"/>
          <w:bCs/>
          <w:kern w:val="0"/>
          <w:sz w:val="32"/>
          <w:szCs w:val="32"/>
        </w:rPr>
        <w:fldChar w:fldCharType="end"/>
      </w:r>
    </w:p>
    <w:p w14:paraId="2D81D31B">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"_Toc21748" </w:instrText>
      </w:r>
      <w:r>
        <w:fldChar w:fldCharType="separate"/>
      </w:r>
      <w:r>
        <w:rPr>
          <w:rFonts w:hint="eastAsia" w:ascii="仿宋_GB2312" w:hAnsi="仿宋_GB2312" w:eastAsia="仿宋_GB2312" w:cs="仿宋_GB2312"/>
          <w:sz w:val="32"/>
          <w:szCs w:val="32"/>
        </w:rPr>
        <w:t>（一）机关运行经费及公用经费支出情况</w:t>
      </w:r>
      <w:r>
        <w:rPr>
          <w:rFonts w:hint="eastAsia" w:ascii="仿宋_GB2312" w:hAnsi="仿宋_GB2312" w:eastAsia="仿宋_GB2312" w:cs="仿宋_GB2312"/>
          <w:sz w:val="32"/>
          <w:szCs w:val="32"/>
        </w:rPr>
        <w:fldChar w:fldCharType="end"/>
      </w:r>
    </w:p>
    <w:p w14:paraId="688C6E4D">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"_Toc25177" </w:instrText>
      </w:r>
      <w:r>
        <w:fldChar w:fldCharType="separate"/>
      </w:r>
      <w:r>
        <w:rPr>
          <w:rFonts w:hint="eastAsia" w:ascii="仿宋_GB2312" w:hAnsi="仿宋_GB2312" w:eastAsia="仿宋_GB2312" w:cs="仿宋_GB2312"/>
          <w:sz w:val="32"/>
          <w:szCs w:val="32"/>
        </w:rPr>
        <w:t>（二）政府采购情况</w:t>
      </w:r>
      <w:r>
        <w:rPr>
          <w:rFonts w:hint="eastAsia" w:ascii="仿宋_GB2312" w:hAnsi="仿宋_GB2312" w:eastAsia="仿宋_GB2312" w:cs="仿宋_GB2312"/>
          <w:sz w:val="32"/>
          <w:szCs w:val="32"/>
        </w:rPr>
        <w:fldChar w:fldCharType="end"/>
      </w:r>
    </w:p>
    <w:p w14:paraId="6E70625A">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"_Toc31294" </w:instrText>
      </w:r>
      <w:r>
        <w:fldChar w:fldCharType="separate"/>
      </w:r>
      <w:r>
        <w:rPr>
          <w:rFonts w:hint="eastAsia" w:ascii="仿宋_GB2312" w:hAnsi="仿宋_GB2312" w:eastAsia="仿宋_GB2312" w:cs="仿宋_GB2312"/>
          <w:sz w:val="32"/>
          <w:szCs w:val="32"/>
        </w:rPr>
        <w:t>（三）国有资产占用情况说明</w:t>
      </w:r>
      <w:r>
        <w:rPr>
          <w:rFonts w:hint="eastAsia" w:ascii="仿宋_GB2312" w:hAnsi="仿宋_GB2312" w:eastAsia="仿宋_GB2312" w:cs="仿宋_GB2312"/>
          <w:sz w:val="32"/>
          <w:szCs w:val="32"/>
        </w:rPr>
        <w:fldChar w:fldCharType="end"/>
      </w:r>
    </w:p>
    <w:p w14:paraId="687A037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"_Toc17664" </w:instrText>
      </w:r>
      <w:r>
        <w:fldChar w:fldCharType="separate"/>
      </w:r>
      <w:r>
        <w:rPr>
          <w:rFonts w:hint="eastAsia" w:ascii="仿宋_GB2312" w:hAnsi="仿宋_GB2312" w:eastAsia="仿宋_GB2312" w:cs="仿宋_GB2312"/>
          <w:bCs/>
          <w:kern w:val="0"/>
          <w:sz w:val="32"/>
          <w:szCs w:val="32"/>
        </w:rPr>
        <w:t>十一、预算绩效的情况说明</w:t>
      </w:r>
      <w:r>
        <w:rPr>
          <w:rFonts w:hint="eastAsia" w:ascii="仿宋_GB2312" w:hAnsi="仿宋_GB2312" w:eastAsia="仿宋_GB2312" w:cs="仿宋_GB2312"/>
          <w:bCs/>
          <w:kern w:val="0"/>
          <w:sz w:val="32"/>
          <w:szCs w:val="32"/>
        </w:rPr>
        <w:fldChar w:fldCharType="end"/>
      </w:r>
    </w:p>
    <w:p w14:paraId="2BE4C8B9">
      <w:pPr>
        <w:spacing w:line="600" w:lineRule="exact"/>
        <w:rPr>
          <w:rFonts w:eastAsia="仿宋_GB2312"/>
        </w:rPr>
      </w:pPr>
      <w:r>
        <w:rPr>
          <w:rFonts w:hint="eastAsia" w:ascii="仿宋_GB2312" w:hAnsi="仿宋_GB2312" w:eastAsia="仿宋_GB2312" w:cs="仿宋_GB2312"/>
          <w:sz w:val="32"/>
          <w:szCs w:val="32"/>
        </w:rPr>
        <w:t>十二、</w:t>
      </w:r>
      <w:r>
        <w:rPr>
          <w:rFonts w:ascii="仿宋_GB2312" w:hAnsi="仿宋_GB2312" w:eastAsia="仿宋_GB2312" w:cs="仿宋_GB2312"/>
          <w:sz w:val="32"/>
          <w:szCs w:val="32"/>
        </w:rPr>
        <w:t>其他需说明的事项</w:t>
      </w:r>
    </w:p>
    <w:p w14:paraId="02F533C8">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"_Toc30038" </w:instrText>
      </w:r>
      <w:r>
        <w:fldChar w:fldCharType="separate"/>
      </w:r>
      <w:r>
        <w:rPr>
          <w:rFonts w:hint="eastAsia" w:ascii="仿宋_GB2312" w:hAnsi="仿宋_GB2312" w:eastAsia="仿宋_GB2312" w:cs="仿宋_GB2312"/>
          <w:b/>
          <w:bCs/>
          <w:sz w:val="32"/>
          <w:szCs w:val="32"/>
        </w:rPr>
        <w:t>第三部分 专业名词解释</w:t>
      </w:r>
      <w:r>
        <w:rPr>
          <w:rFonts w:hint="eastAsia" w:ascii="仿宋_GB2312" w:hAnsi="仿宋_GB2312" w:eastAsia="仿宋_GB2312" w:cs="仿宋_GB2312"/>
          <w:b/>
          <w:bCs/>
          <w:sz w:val="32"/>
          <w:szCs w:val="32"/>
        </w:rPr>
        <w:fldChar w:fldCharType="end"/>
      </w:r>
    </w:p>
    <w:p w14:paraId="13D03994">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"_Toc6831" </w:instrText>
      </w:r>
      <w:r>
        <w:fldChar w:fldCharType="separate"/>
      </w:r>
      <w:r>
        <w:rPr>
          <w:rFonts w:hint="eastAsia" w:ascii="仿宋_GB2312" w:hAnsi="仿宋_GB2312" w:eastAsia="仿宋_GB2312" w:cs="仿宋_GB2312"/>
          <w:b/>
          <w:bCs/>
          <w:sz w:val="32"/>
          <w:szCs w:val="32"/>
        </w:rPr>
        <w:t>第四部分 部门决算报表（见附表）</w:t>
      </w:r>
      <w:r>
        <w:rPr>
          <w:rFonts w:hint="eastAsia" w:ascii="仿宋_GB2312" w:hAnsi="仿宋_GB2312" w:eastAsia="仿宋_GB2312" w:cs="仿宋_GB2312"/>
          <w:b/>
          <w:bCs/>
          <w:sz w:val="32"/>
          <w:szCs w:val="32"/>
        </w:rPr>
        <w:fldChar w:fldCharType="end"/>
      </w:r>
    </w:p>
    <w:p w14:paraId="363DA5E8">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"_Toc3845" </w:instrText>
      </w:r>
      <w:r>
        <w:fldChar w:fldCharType="separate"/>
      </w:r>
      <w:r>
        <w:rPr>
          <w:rFonts w:hint="eastAsia" w:ascii="仿宋_GB2312" w:hAnsi="仿宋_GB2312" w:eastAsia="仿宋_GB2312" w:cs="仿宋_GB2312"/>
          <w:bCs/>
          <w:kern w:val="0"/>
          <w:sz w:val="32"/>
          <w:szCs w:val="32"/>
        </w:rPr>
        <w:t>一、《收入支出决算总表》</w:t>
      </w:r>
      <w:r>
        <w:rPr>
          <w:rFonts w:hint="eastAsia" w:ascii="仿宋_GB2312" w:hAnsi="仿宋_GB2312" w:eastAsia="仿宋_GB2312" w:cs="仿宋_GB2312"/>
          <w:bCs/>
          <w:kern w:val="0"/>
          <w:sz w:val="32"/>
          <w:szCs w:val="32"/>
        </w:rPr>
        <w:fldChar w:fldCharType="end"/>
      </w:r>
    </w:p>
    <w:p w14:paraId="7612762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"_Toc11927" </w:instrText>
      </w:r>
      <w:r>
        <w:fldChar w:fldCharType="separate"/>
      </w:r>
      <w:r>
        <w:rPr>
          <w:rFonts w:hint="eastAsia" w:ascii="仿宋_GB2312" w:hAnsi="仿宋_GB2312" w:eastAsia="仿宋_GB2312" w:cs="仿宋_GB2312"/>
          <w:bCs/>
          <w:kern w:val="0"/>
          <w:sz w:val="32"/>
          <w:szCs w:val="32"/>
        </w:rPr>
        <w:t>二、《收入决算表》</w:t>
      </w:r>
      <w:r>
        <w:rPr>
          <w:rFonts w:hint="eastAsia" w:ascii="仿宋_GB2312" w:hAnsi="仿宋_GB2312" w:eastAsia="仿宋_GB2312" w:cs="仿宋_GB2312"/>
          <w:bCs/>
          <w:kern w:val="0"/>
          <w:sz w:val="32"/>
          <w:szCs w:val="32"/>
        </w:rPr>
        <w:fldChar w:fldCharType="end"/>
      </w:r>
    </w:p>
    <w:p w14:paraId="3D4C3500">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"_Toc7443" </w:instrText>
      </w:r>
      <w:r>
        <w:fldChar w:fldCharType="separate"/>
      </w:r>
      <w:r>
        <w:rPr>
          <w:rFonts w:hint="eastAsia" w:ascii="仿宋_GB2312" w:hAnsi="仿宋_GB2312" w:eastAsia="仿宋_GB2312" w:cs="仿宋_GB2312"/>
          <w:bCs/>
          <w:kern w:val="0"/>
          <w:sz w:val="32"/>
          <w:szCs w:val="32"/>
        </w:rPr>
        <w:t>三、《支出决算表》</w:t>
      </w:r>
      <w:r>
        <w:rPr>
          <w:rFonts w:hint="eastAsia" w:ascii="仿宋_GB2312" w:hAnsi="仿宋_GB2312" w:eastAsia="仿宋_GB2312" w:cs="仿宋_GB2312"/>
          <w:bCs/>
          <w:kern w:val="0"/>
          <w:sz w:val="32"/>
          <w:szCs w:val="32"/>
        </w:rPr>
        <w:fldChar w:fldCharType="end"/>
      </w:r>
    </w:p>
    <w:p w14:paraId="2F9A11B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"_Toc24884" </w:instrText>
      </w:r>
      <w:r>
        <w:fldChar w:fldCharType="separate"/>
      </w:r>
      <w:r>
        <w:rPr>
          <w:rFonts w:hint="eastAsia" w:ascii="仿宋_GB2312" w:hAnsi="仿宋_GB2312" w:eastAsia="仿宋_GB2312" w:cs="仿宋_GB2312"/>
          <w:bCs/>
          <w:kern w:val="0"/>
          <w:sz w:val="32"/>
          <w:szCs w:val="32"/>
        </w:rPr>
        <w:t>四、《财政拨款收入支出决算总表》</w:t>
      </w:r>
      <w:r>
        <w:rPr>
          <w:rFonts w:hint="eastAsia" w:ascii="仿宋_GB2312" w:hAnsi="仿宋_GB2312" w:eastAsia="仿宋_GB2312" w:cs="仿宋_GB2312"/>
          <w:bCs/>
          <w:kern w:val="0"/>
          <w:sz w:val="32"/>
          <w:szCs w:val="32"/>
        </w:rPr>
        <w:fldChar w:fldCharType="end"/>
      </w:r>
    </w:p>
    <w:p w14:paraId="44A5CB8E">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"_Toc16518" </w:instrText>
      </w:r>
      <w:r>
        <w:fldChar w:fldCharType="separate"/>
      </w:r>
      <w:r>
        <w:rPr>
          <w:rFonts w:hint="eastAsia" w:ascii="仿宋_GB2312" w:hAnsi="仿宋_GB2312" w:eastAsia="仿宋_GB2312" w:cs="仿宋_GB2312"/>
          <w:bCs/>
          <w:kern w:val="0"/>
          <w:sz w:val="32"/>
          <w:szCs w:val="32"/>
        </w:rPr>
        <w:t>五、《一般公共预算财政拨款支出决算表》</w:t>
      </w:r>
      <w:r>
        <w:rPr>
          <w:rFonts w:hint="eastAsia" w:ascii="仿宋_GB2312" w:hAnsi="仿宋_GB2312" w:eastAsia="仿宋_GB2312" w:cs="仿宋_GB2312"/>
          <w:bCs/>
          <w:kern w:val="0"/>
          <w:sz w:val="32"/>
          <w:szCs w:val="32"/>
        </w:rPr>
        <w:fldChar w:fldCharType="end"/>
      </w:r>
    </w:p>
    <w:p w14:paraId="277EE406">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"_Toc20514" </w:instrText>
      </w:r>
      <w:r>
        <w:fldChar w:fldCharType="separate"/>
      </w:r>
      <w:r>
        <w:rPr>
          <w:rFonts w:hint="eastAsia" w:ascii="仿宋_GB2312" w:hAnsi="仿宋_GB2312" w:eastAsia="仿宋_GB2312" w:cs="仿宋_GB2312"/>
          <w:bCs/>
          <w:kern w:val="0"/>
          <w:sz w:val="32"/>
          <w:szCs w:val="32"/>
        </w:rPr>
        <w:t>六、《一般公共预算财政拨款基本支出决算表》</w:t>
      </w:r>
      <w:r>
        <w:rPr>
          <w:rFonts w:hint="eastAsia" w:ascii="仿宋_GB2312" w:hAnsi="仿宋_GB2312" w:eastAsia="仿宋_GB2312" w:cs="仿宋_GB2312"/>
          <w:bCs/>
          <w:kern w:val="0"/>
          <w:sz w:val="32"/>
          <w:szCs w:val="32"/>
        </w:rPr>
        <w:fldChar w:fldCharType="end"/>
      </w:r>
    </w:p>
    <w:p w14:paraId="49FE8110">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"_Toc18055" </w:instrText>
      </w:r>
      <w:r>
        <w:fldChar w:fldCharType="separate"/>
      </w:r>
      <w:r>
        <w:rPr>
          <w:rFonts w:hint="eastAsia" w:ascii="仿宋_GB2312" w:hAnsi="仿宋_GB2312" w:eastAsia="仿宋_GB2312" w:cs="仿宋_GB2312"/>
          <w:bCs/>
          <w:kern w:val="0"/>
          <w:sz w:val="32"/>
          <w:szCs w:val="32"/>
        </w:rPr>
        <w:t>七、《政府性基金预算财政拨款收入支出决算表》</w:t>
      </w:r>
      <w:r>
        <w:rPr>
          <w:rFonts w:hint="eastAsia" w:ascii="仿宋_GB2312" w:hAnsi="仿宋_GB2312" w:eastAsia="仿宋_GB2312" w:cs="仿宋_GB2312"/>
          <w:bCs/>
          <w:kern w:val="0"/>
          <w:sz w:val="32"/>
          <w:szCs w:val="32"/>
        </w:rPr>
        <w:fldChar w:fldCharType="end"/>
      </w:r>
    </w:p>
    <w:p w14:paraId="43AA1635">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"_Toc10719" </w:instrText>
      </w:r>
      <w:r>
        <w:fldChar w:fldCharType="separate"/>
      </w:r>
      <w:r>
        <w:rPr>
          <w:rFonts w:hint="eastAsia" w:ascii="仿宋_GB2312" w:hAnsi="仿宋_GB2312" w:eastAsia="仿宋_GB2312" w:cs="仿宋_GB2312"/>
          <w:bCs/>
          <w:kern w:val="0"/>
          <w:sz w:val="32"/>
          <w:szCs w:val="32"/>
        </w:rPr>
        <w:t>八、《国有资本经营预算财政拨款收入支出决算表》</w:t>
      </w:r>
      <w:r>
        <w:rPr>
          <w:rFonts w:hint="eastAsia" w:ascii="仿宋_GB2312" w:hAnsi="仿宋_GB2312" w:eastAsia="仿宋_GB2312" w:cs="仿宋_GB2312"/>
          <w:bCs/>
          <w:kern w:val="0"/>
          <w:sz w:val="32"/>
          <w:szCs w:val="32"/>
        </w:rPr>
        <w:fldChar w:fldCharType="end"/>
      </w:r>
    </w:p>
    <w:p w14:paraId="5D4DF260">
      <w:pPr>
        <w:pStyle w:val="7"/>
        <w:tabs>
          <w:tab w:val="right" w:leader="dot" w:pos="8306"/>
        </w:tabs>
        <w:spacing w:line="600" w:lineRule="exact"/>
        <w:ind w:left="0" w:leftChars="0"/>
        <w:rPr>
          <w:rFonts w:hint="eastAsia" w:ascii="黑体" w:hAnsi="黑体" w:eastAsia="黑体" w:cs="宋体"/>
          <w:bCs/>
          <w:kern w:val="0"/>
          <w:sz w:val="32"/>
          <w:szCs w:val="32"/>
        </w:rPr>
      </w:pPr>
      <w:r>
        <w:fldChar w:fldCharType="begin"/>
      </w:r>
      <w:r>
        <w:instrText xml:space="preserve"> HYPERLINK \l "_Toc18861" </w:instrText>
      </w:r>
      <w:r>
        <w:fldChar w:fldCharType="separate"/>
      </w:r>
      <w:r>
        <w:rPr>
          <w:rFonts w:hint="eastAsia" w:ascii="仿宋_GB2312" w:hAnsi="仿宋_GB2312" w:eastAsia="仿宋_GB2312" w:cs="仿宋_GB2312"/>
          <w:bCs/>
          <w:kern w:val="0"/>
          <w:sz w:val="32"/>
          <w:szCs w:val="32"/>
        </w:rPr>
        <w:t>九、《财政拨款“三公”经费支出决算表》</w:t>
      </w:r>
      <w:r>
        <w:rPr>
          <w:rFonts w:hint="eastAsia" w:ascii="仿宋_GB2312" w:hAnsi="仿宋_GB2312" w:eastAsia="仿宋_GB2312" w:cs="仿宋_GB2312"/>
          <w:bCs/>
          <w:kern w:val="0"/>
          <w:sz w:val="32"/>
          <w:szCs w:val="32"/>
        </w:rPr>
        <w:fldChar w:fldCharType="end"/>
      </w:r>
      <w:r>
        <w:rPr>
          <w:rFonts w:hint="eastAsia" w:ascii="仿宋_GB2312" w:hAnsi="仿宋_GB2312" w:eastAsia="仿宋_GB2312" w:cs="仿宋_GB2312"/>
          <w:sz w:val="32"/>
          <w:szCs w:val="32"/>
        </w:rPr>
        <w:fldChar w:fldCharType="end"/>
      </w:r>
    </w:p>
    <w:p>
      <w:r>
        <w:br w:type="page"/>
      </w:r>
    </w:p>
    <w:p>
      <w:pPr>
        <w:spacing w:line="640" w:lineRule="exact"/>
        <w:jc w:val="center"/>
        <w:outlineLvl w:val="1"/>
      </w:pPr>
      <w:r>
        <w:rPr>
          <w:rFonts w:ascii="黑体" w:hAnsi="黑体" w:eastAsia="黑体"/>
          <w:sz w:val="32"/>
        </w:rPr>
        <w:t>第一部分 单位概况</w:t>
      </w:r>
    </w:p>
    <w:p>
      <w:pPr>
        <w:spacing w:line="640" w:lineRule="exact"/>
        <w:ind w:firstLine="640"/>
        <w:jc w:val="both"/>
        <w:outlineLvl w:val="2"/>
      </w:pPr>
      <w:r>
        <w:rPr>
          <w:rFonts w:ascii="黑体" w:hAnsi="黑体" w:eastAsia="黑体"/>
          <w:sz w:val="32"/>
        </w:rPr>
        <w:t>一、主要职能</w:t>
      </w:r>
    </w:p>
    <w:p>
      <w:pPr>
        <w:spacing w:line="580" w:lineRule="exact"/>
        <w:ind w:firstLine="640"/>
        <w:jc w:val="both"/>
      </w:pPr>
      <w:r>
        <w:rPr>
          <w:rFonts w:ascii="仿宋_GB2312" w:hAnsi="仿宋_GB2312" w:eastAsia="仿宋_GB2312"/>
          <w:sz w:val="32"/>
        </w:rPr>
        <w:t>承担疾病预防与控制、突发公共卫生事件应急处置、疫情报告及健康相关因素信息管理、健康危害因素监测与干预、实验室检测分析与评价、健康教育与健康促进、技术管理与应用研究指导等工作。</w:t>
      </w:r>
    </w:p>
    <w:p>
      <w:pPr>
        <w:spacing w:line="640" w:lineRule="exact"/>
        <w:ind w:firstLine="640"/>
        <w:jc w:val="both"/>
        <w:outlineLvl w:val="2"/>
      </w:pPr>
      <w:r>
        <w:rPr>
          <w:rFonts w:ascii="黑体" w:hAnsi="黑体" w:eastAsia="黑体"/>
          <w:sz w:val="32"/>
        </w:rPr>
        <w:t>二、机构设置</w:t>
      </w:r>
    </w:p>
    <w:p>
      <w:pPr>
        <w:spacing w:line="580" w:lineRule="exact"/>
        <w:ind w:firstLine="640"/>
        <w:jc w:val="both"/>
      </w:pPr>
      <w:r>
        <w:rPr>
          <w:rFonts w:ascii="仿宋_GB2312" w:hAnsi="仿宋_GB2312" w:eastAsia="仿宋_GB2312"/>
          <w:sz w:val="32"/>
        </w:rPr>
        <w:t>昌吉回族自治州疾病预防控制中心（昌吉回族自治州卫生监督所）无下属预算单位。</w:t>
      </w:r>
    </w:p>
    <w:p>
      <w:r>
        <w:br w:type="page"/>
      </w:r>
    </w:p>
    <w:p>
      <w:pPr>
        <w:spacing w:line="240" w:lineRule="auto"/>
        <w:jc w:val="center"/>
        <w:outlineLvl w:val="1"/>
      </w:pPr>
      <w:r>
        <w:rPr>
          <w:rFonts w:ascii="黑体" w:hAnsi="黑体" w:eastAsia="黑体"/>
          <w:sz w:val="32"/>
        </w:rPr>
        <w:t>第二部分 部门决算情况说明</w:t>
      </w:r>
    </w:p>
    <w:p>
      <w:pPr>
        <w:spacing w:line="640" w:lineRule="exact"/>
        <w:ind w:firstLine="640"/>
        <w:jc w:val="both"/>
        <w:outlineLvl w:val="2"/>
      </w:pPr>
      <w:r>
        <w:rPr>
          <w:rFonts w:ascii="黑体" w:hAnsi="黑体" w:eastAsia="黑体"/>
          <w:sz w:val="32"/>
        </w:rPr>
        <w:t>一、收入支出决算总体情况说明</w:t>
      </w:r>
    </w:p>
    <w:p>
      <w:pPr>
        <w:spacing w:line="580" w:lineRule="exact"/>
        <w:ind w:firstLine="640"/>
        <w:jc w:val="both"/>
      </w:pPr>
      <w:r>
        <w:rPr>
          <w:rFonts w:ascii="仿宋_GB2312" w:hAnsi="仿宋_GB2312" w:eastAsia="仿宋_GB2312"/>
          <w:b/>
          <w:sz w:val="32"/>
        </w:rPr>
        <w:t>2025年度收入总计3,686.04万元，</w:t>
      </w:r>
      <w:r>
        <w:rPr>
          <w:rFonts w:ascii="仿宋_GB2312" w:hAnsi="仿宋_GB2312" w:eastAsia="仿宋_GB2312"/>
          <w:b w:val="0"/>
          <w:sz w:val="32"/>
        </w:rPr>
        <w:t>其中：本年收入合计3,676.16万元，使用非财政拨款结余（含专用结余）9.88万元，年初结转和结余0.00万元。</w:t>
      </w:r>
    </w:p>
    <w:p>
      <w:pPr>
        <w:spacing w:line="580" w:lineRule="exact"/>
        <w:ind w:firstLine="640"/>
        <w:jc w:val="both"/>
      </w:pPr>
      <w:r>
        <w:rPr>
          <w:rFonts w:ascii="仿宋_GB2312" w:hAnsi="仿宋_GB2312" w:eastAsia="仿宋_GB2312"/>
          <w:b/>
          <w:sz w:val="32"/>
        </w:rPr>
        <w:t>2025年度支出总计3,686.04万元，</w:t>
      </w:r>
      <w:r>
        <w:rPr>
          <w:rFonts w:ascii="仿宋_GB2312" w:hAnsi="仿宋_GB2312" w:eastAsia="仿宋_GB2312"/>
          <w:b w:val="0"/>
          <w:sz w:val="32"/>
        </w:rPr>
        <w:t>其中：本年支出合计3,686.04万元，结余分配0.00万元，年末结转和结余0.00万元。</w:t>
      </w:r>
    </w:p>
    <w:p>
      <w:pPr>
        <w:spacing w:line="580" w:lineRule="exact"/>
        <w:ind w:firstLine="640"/>
        <w:jc w:val="both"/>
      </w:pPr>
      <w:r>
        <w:rPr>
          <w:rFonts w:ascii="仿宋_GB2312" w:hAnsi="仿宋_GB2312" w:eastAsia="仿宋_GB2312"/>
          <w:b/>
          <w:sz w:val="32"/>
        </w:rPr>
        <w:t>收入支出总体与上年相比，</w:t>
      </w:r>
      <w:r>
        <w:rPr>
          <w:rFonts w:ascii="仿宋_GB2312" w:hAnsi="仿宋_GB2312" w:eastAsia="仿宋_GB2312"/>
          <w:b w:val="0"/>
          <w:sz w:val="32"/>
        </w:rPr>
        <w:t>减少542.86万元，下降12.84%，主要原因是：本年减少快速检测实验室与资产配置项目。</w:t>
      </w:r>
    </w:p>
    <w:p>
      <w:pPr>
        <w:spacing w:line="640" w:lineRule="exact"/>
        <w:ind w:firstLine="640"/>
        <w:jc w:val="both"/>
        <w:outlineLvl w:val="2"/>
      </w:pPr>
      <w:r>
        <w:rPr>
          <w:rFonts w:ascii="黑体" w:hAnsi="黑体" w:eastAsia="黑体"/>
          <w:sz w:val="32"/>
        </w:rPr>
        <w:t>二、收入决算情况说明</w:t>
      </w:r>
    </w:p>
    <w:p>
      <w:pPr>
        <w:spacing w:line="580" w:lineRule="exact"/>
        <w:ind w:firstLine="640"/>
        <w:jc w:val="both"/>
      </w:pPr>
      <w:r>
        <w:rPr>
          <w:rFonts w:ascii="仿宋_GB2312" w:hAnsi="仿宋_GB2312" w:eastAsia="仿宋_GB2312"/>
          <w:b/>
          <w:sz w:val="32"/>
        </w:rPr>
        <w:t>本年收入3,676.16万元，</w:t>
      </w:r>
      <w:r>
        <w:rPr>
          <w:rFonts w:ascii="仿宋_GB2312" w:hAnsi="仿宋_GB2312" w:eastAsia="仿宋_GB2312"/>
          <w:b w:val="0"/>
          <w:sz w:val="32"/>
        </w:rPr>
        <w:t>其中：财政拨款收入3,664.03万元，占99.67%；上级补助收入0.00万元，占0.00%；事业收入0.00万元，占0.00%；经营收入0.00万元，占0.00%；附属单位上缴收入0.00万元，占0.00%；其他收入12.13万元，占0.33%。</w:t>
      </w:r>
    </w:p>
    <w:p>
      <w:pPr>
        <w:spacing w:line="640" w:lineRule="exact"/>
        <w:ind w:firstLine="640"/>
        <w:jc w:val="both"/>
        <w:outlineLvl w:val="2"/>
      </w:pPr>
      <w:r>
        <w:rPr>
          <w:rFonts w:ascii="黑体" w:hAnsi="黑体" w:eastAsia="黑体"/>
          <w:sz w:val="32"/>
        </w:rPr>
        <w:t>三、支出决算情况说明</w:t>
      </w:r>
    </w:p>
    <w:p>
      <w:pPr>
        <w:spacing w:line="580" w:lineRule="exact"/>
        <w:ind w:firstLine="640"/>
        <w:jc w:val="both"/>
      </w:pPr>
      <w:r>
        <w:rPr>
          <w:rFonts w:ascii="仿宋_GB2312" w:hAnsi="仿宋_GB2312" w:eastAsia="仿宋_GB2312"/>
          <w:b/>
          <w:sz w:val="32"/>
        </w:rPr>
        <w:t>本年支出3,686.04万元，</w:t>
      </w:r>
      <w:r>
        <w:rPr>
          <w:rFonts w:ascii="仿宋_GB2312" w:hAnsi="仿宋_GB2312" w:eastAsia="仿宋_GB2312"/>
          <w:b w:val="0"/>
          <w:sz w:val="32"/>
        </w:rPr>
        <w:t>其中：基本支出2,532.00万元，占68.69%；项目支出1,154.04万元，占31.31%；上缴上级支出0.00万元，占0.00%；经营支出0.00万元，占0.00%；对附属单位补助支出0.00万元，占0.00%。</w:t>
      </w:r>
    </w:p>
    <w:p>
      <w:pPr>
        <w:spacing w:line="640" w:lineRule="exact"/>
        <w:ind w:firstLine="640"/>
        <w:jc w:val="both"/>
        <w:outlineLvl w:val="2"/>
      </w:pPr>
      <w:r>
        <w:rPr>
          <w:rFonts w:ascii="黑体" w:hAnsi="黑体" w:eastAsia="黑体"/>
          <w:sz w:val="32"/>
        </w:rPr>
        <w:t>四、财政拨款收入支出决算总体情况说明</w:t>
      </w:r>
    </w:p>
    <w:p>
      <w:pPr>
        <w:spacing w:line="580" w:lineRule="exact"/>
        <w:ind w:firstLine="640"/>
        <w:jc w:val="both"/>
      </w:pPr>
      <w:r>
        <w:rPr>
          <w:rFonts w:ascii="仿宋_GB2312" w:hAnsi="仿宋_GB2312" w:eastAsia="仿宋_GB2312"/>
          <w:b/>
          <w:sz w:val="32"/>
        </w:rPr>
        <w:t>2025年度财政拨款收入总计3,664.03万元，</w:t>
      </w:r>
      <w:r>
        <w:rPr>
          <w:rFonts w:ascii="仿宋_GB2312" w:hAnsi="仿宋_GB2312" w:eastAsia="仿宋_GB2312"/>
          <w:b w:val="0"/>
          <w:sz w:val="32"/>
        </w:rPr>
        <w:t>其中：年初财政拨款结转和结余0.00万元，本年财政拨款收入3,664.03万元。</w:t>
      </w:r>
      <w:r>
        <w:rPr>
          <w:rFonts w:ascii="仿宋_GB2312" w:hAnsi="仿宋_GB2312" w:eastAsia="仿宋_GB2312"/>
          <w:b/>
          <w:sz w:val="32"/>
        </w:rPr>
        <w:t>财政拨款支出总计3,664.03万元，</w:t>
      </w:r>
      <w:r>
        <w:rPr>
          <w:rFonts w:ascii="仿宋_GB2312" w:hAnsi="仿宋_GB2312" w:eastAsia="仿宋_GB2312"/>
          <w:b w:val="0"/>
          <w:sz w:val="32"/>
        </w:rPr>
        <w:t>其中：年末财政拨款结转和结余0.00万元，本年财政拨款支出3,664.03万元。</w:t>
      </w:r>
    </w:p>
    <w:p>
      <w:pPr>
        <w:spacing w:line="580" w:lineRule="exact"/>
        <w:ind w:firstLine="640"/>
        <w:jc w:val="both"/>
      </w:pPr>
      <w:r>
        <w:rPr>
          <w:rFonts w:ascii="仿宋_GB2312" w:hAnsi="仿宋_GB2312" w:eastAsia="仿宋_GB2312"/>
          <w:b/>
          <w:sz w:val="32"/>
        </w:rPr>
        <w:t>财政拨款收入支出总体与上年相比，</w:t>
      </w:r>
      <w:r>
        <w:rPr>
          <w:rFonts w:ascii="仿宋_GB2312" w:hAnsi="仿宋_GB2312" w:eastAsia="仿宋_GB2312"/>
          <w:b w:val="0"/>
          <w:sz w:val="32"/>
        </w:rPr>
        <w:t>增加956.70万元，增长35.34%，主要原因是：本年原卫生监督所与疾控机构合并，人员数量增加，相关人员经费增加。本年增加州直单位办公用房维修项目，相关项目经费增加。</w:t>
      </w:r>
      <w:r>
        <w:rPr>
          <w:rFonts w:ascii="仿宋_GB2312" w:hAnsi="仿宋_GB2312" w:eastAsia="仿宋_GB2312"/>
          <w:b/>
          <w:sz w:val="32"/>
        </w:rPr>
        <w:t>与年初预算相比，</w:t>
      </w:r>
      <w:r>
        <w:rPr>
          <w:rFonts w:ascii="仿宋_GB2312" w:hAnsi="仿宋_GB2312" w:eastAsia="仿宋_GB2312"/>
          <w:b w:val="0"/>
          <w:sz w:val="32"/>
        </w:rPr>
        <w:t>年初预算数2,765.54万元，决算数3,664.03万元，预决算差异率32.49%，主要原因是：年中追加州直单位办公用房维修项目、重大传染病项目、基本公共卫生项目，导致预决算存在差异。</w:t>
      </w:r>
    </w:p>
    <w:p>
      <w:pPr>
        <w:spacing w:line="640" w:lineRule="exact"/>
        <w:ind w:firstLine="640"/>
        <w:jc w:val="both"/>
        <w:outlineLvl w:val="2"/>
      </w:pPr>
      <w:r>
        <w:rPr>
          <w:rFonts w:ascii="黑体" w:hAnsi="黑体" w:eastAsia="黑体"/>
          <w:sz w:val="32"/>
        </w:rPr>
        <w:t>五、一般公共预算财政拨款支出决算情况说明</w:t>
      </w:r>
    </w:p>
    <w:p>
      <w:pPr>
        <w:spacing w:line="580" w:lineRule="exact"/>
        <w:ind w:firstLine="640"/>
        <w:jc w:val="both"/>
      </w:pPr>
      <w:r>
        <w:rPr>
          <w:rFonts w:ascii="仿宋_GB2312" w:hAnsi="仿宋_GB2312" w:eastAsia="仿宋_GB2312"/>
          <w:b w:val="0"/>
          <w:sz w:val="32"/>
        </w:rPr>
        <w:t>按照党中央、国务院关于党政机关习惯过紧日子的有关要求，厉行节约办一切事业，严控一般性支出。同时坚持有保有压，优化支出结构，提高资金使用效率，合理保障机构运行、基本公共卫生服务、重大疾病防控、卫生应急处置、实验室检验检测、民生保障等重点支出，体现在有关支出科目中。</w:t>
      </w:r>
    </w:p>
    <w:p>
      <w:pPr>
        <w:spacing w:line="580" w:lineRule="exact"/>
        <w:ind w:firstLine="640"/>
        <w:jc w:val="both"/>
      </w:pPr>
      <w:r>
        <w:rPr>
          <w:rFonts w:ascii="仿宋_GB2312" w:hAnsi="仿宋_GB2312" w:eastAsia="仿宋_GB2312"/>
          <w:b w:val="0"/>
          <w:sz w:val="32"/>
        </w:rPr>
        <w:t>按照支出功能分类，卫生健康支出（类）公共卫生（款）疾病预防控制机构（项）的支出占本年财政拨款支出总额的比重最高，2025年度决算数为2,030.67万元，占比55.42%，主要用于人员工资福利、社会保障缴费、日常公用经费、疾病防控。</w:t>
      </w:r>
    </w:p>
    <w:p>
      <w:pPr>
        <w:spacing w:line="640" w:lineRule="exact"/>
        <w:ind w:firstLine="640"/>
        <w:jc w:val="both"/>
        <w:outlineLvl w:val="3"/>
      </w:pPr>
      <w:r>
        <w:rPr>
          <w:rFonts w:ascii="楷体_GB2312" w:hAnsi="楷体_GB2312" w:eastAsia="楷体_GB2312"/>
          <w:b/>
          <w:sz w:val="32"/>
        </w:rPr>
        <w:t>（一）一般公共预算财政拨款支出决算总体情况</w:t>
      </w:r>
    </w:p>
    <w:p>
      <w:pPr>
        <w:spacing w:line="580" w:lineRule="exact"/>
        <w:ind w:firstLine="640"/>
        <w:jc w:val="both"/>
      </w:pPr>
      <w:r>
        <w:rPr>
          <w:rFonts w:ascii="仿宋_GB2312" w:hAnsi="仿宋_GB2312" w:eastAsia="仿宋_GB2312"/>
          <w:b/>
          <w:sz w:val="32"/>
        </w:rPr>
        <w:t>2025年度一般公共预算财政拨款支出3,664.03万元，</w:t>
      </w:r>
      <w:r>
        <w:rPr>
          <w:rFonts w:ascii="仿宋_GB2312" w:hAnsi="仿宋_GB2312" w:eastAsia="仿宋_GB2312"/>
          <w:b w:val="0"/>
          <w:sz w:val="32"/>
        </w:rPr>
        <w:t>占本年支出合计的99.40%。</w:t>
      </w:r>
      <w:r>
        <w:rPr>
          <w:rFonts w:ascii="仿宋_GB2312" w:hAnsi="仿宋_GB2312" w:eastAsia="仿宋_GB2312"/>
          <w:b/>
          <w:sz w:val="32"/>
        </w:rPr>
        <w:t>与上年相比，</w:t>
      </w:r>
      <w:r>
        <w:rPr>
          <w:rFonts w:ascii="仿宋_GB2312" w:hAnsi="仿宋_GB2312" w:eastAsia="仿宋_GB2312"/>
          <w:b w:val="0"/>
          <w:sz w:val="32"/>
        </w:rPr>
        <w:t>增加956.70万元，增长35.34%，主要原因是：本年原卫生监督所与疾控机构合并，人员数量增加，相关人员经费增加。本年增加州直单位办公用房维修项目，相关项目经费增加。</w:t>
      </w:r>
      <w:r>
        <w:rPr>
          <w:rFonts w:ascii="仿宋_GB2312" w:hAnsi="仿宋_GB2312" w:eastAsia="仿宋_GB2312"/>
          <w:b/>
          <w:sz w:val="32"/>
        </w:rPr>
        <w:t>与年初预算相比，</w:t>
      </w:r>
      <w:r>
        <w:rPr>
          <w:rFonts w:ascii="仿宋_GB2312" w:hAnsi="仿宋_GB2312" w:eastAsia="仿宋_GB2312"/>
          <w:b w:val="0"/>
          <w:sz w:val="32"/>
        </w:rPr>
        <w:t>年初预算数2,765.54万元，决算数3,664.03万元，预决算差异率32.49%，主要原因是：年中追加州直单位办公用房维修项目、重大传染病项目、基本公共卫生项目，导致预决算存在差异。</w:t>
      </w:r>
    </w:p>
    <w:p>
      <w:pPr>
        <w:spacing w:line="640" w:lineRule="exact"/>
        <w:ind w:firstLine="640"/>
        <w:jc w:val="both"/>
        <w:outlineLvl w:val="3"/>
      </w:pPr>
      <w:r>
        <w:rPr>
          <w:rFonts w:ascii="楷体_GB2312" w:hAnsi="楷体_GB2312" w:eastAsia="楷体_GB2312"/>
          <w:b/>
          <w:sz w:val="32"/>
        </w:rPr>
        <w:t>（二）一般公共预算财政拨款支出决算结构情况</w:t>
      </w:r>
    </w:p>
    <w:p>
      <w:pPr>
        <w:spacing w:line="580" w:lineRule="exact"/>
        <w:ind w:firstLine="640"/>
        <w:jc w:val="both"/>
      </w:pPr>
      <w:r>
        <w:rPr>
          <w:rFonts w:ascii="仿宋_GB2312" w:hAnsi="仿宋_GB2312" w:eastAsia="仿宋_GB2312"/>
          <w:b w:val="0"/>
          <w:sz w:val="32"/>
        </w:rPr>
        <w:t>1.社会保障和就业支出（类）333.87万元，占9.11%。</w:t>
      </w:r>
    </w:p>
    <w:p>
      <w:pPr>
        <w:spacing w:line="580" w:lineRule="exact"/>
        <w:ind w:firstLine="640"/>
        <w:jc w:val="both"/>
      </w:pPr>
      <w:r>
        <w:rPr>
          <w:rFonts w:ascii="仿宋_GB2312" w:hAnsi="仿宋_GB2312" w:eastAsia="仿宋_GB2312"/>
          <w:b w:val="0"/>
          <w:sz w:val="32"/>
        </w:rPr>
        <w:t>2.卫生健康支出（类）3,158.68万元，占86.21%。</w:t>
      </w:r>
    </w:p>
    <w:p>
      <w:pPr>
        <w:spacing w:line="580" w:lineRule="exact"/>
        <w:ind w:firstLine="640"/>
        <w:jc w:val="both"/>
      </w:pPr>
      <w:r>
        <w:rPr>
          <w:rFonts w:ascii="仿宋_GB2312" w:hAnsi="仿宋_GB2312" w:eastAsia="仿宋_GB2312"/>
          <w:b w:val="0"/>
          <w:sz w:val="32"/>
        </w:rPr>
        <w:t>3.资源勘探工业信息等支出（类）8.21万元，占0.22%。</w:t>
      </w:r>
    </w:p>
    <w:p>
      <w:pPr>
        <w:spacing w:line="580" w:lineRule="exact"/>
        <w:ind w:firstLine="640"/>
        <w:jc w:val="both"/>
      </w:pPr>
      <w:r>
        <w:rPr>
          <w:rFonts w:ascii="仿宋_GB2312" w:hAnsi="仿宋_GB2312" w:eastAsia="仿宋_GB2312"/>
          <w:b w:val="0"/>
          <w:sz w:val="32"/>
        </w:rPr>
        <w:t>4.住房保障支出（类）159.82万元，占4.36%。</w:t>
      </w:r>
    </w:p>
    <w:p>
      <w:pPr>
        <w:spacing w:line="580" w:lineRule="exact"/>
        <w:ind w:firstLine="640"/>
        <w:jc w:val="both"/>
      </w:pPr>
      <w:r>
        <w:rPr>
          <w:rFonts w:ascii="仿宋_GB2312" w:hAnsi="仿宋_GB2312" w:eastAsia="仿宋_GB2312"/>
          <w:b w:val="0"/>
          <w:sz w:val="32"/>
        </w:rPr>
        <w:t>5.其他支出（类）3.45万元，占0.09%。</w:t>
      </w:r>
    </w:p>
    <w:p>
      <w:pPr>
        <w:spacing w:line="640" w:lineRule="exact"/>
        <w:ind w:firstLine="640"/>
        <w:jc w:val="both"/>
        <w:outlineLvl w:val="3"/>
      </w:pPr>
      <w:r>
        <w:rPr>
          <w:rFonts w:ascii="楷体_GB2312" w:hAnsi="楷体_GB2312" w:eastAsia="楷体_GB2312"/>
          <w:b/>
          <w:sz w:val="32"/>
        </w:rPr>
        <w:t>（三）一般公共预算财政拨款支出决算具体情况</w:t>
      </w:r>
    </w:p>
    <w:p>
      <w:pPr>
        <w:spacing w:line="580" w:lineRule="exact"/>
        <w:ind w:firstLine="640"/>
        <w:jc w:val="both"/>
      </w:pPr>
      <w:r>
        <w:rPr>
          <w:rFonts w:ascii="仿宋_GB2312" w:hAnsi="仿宋_GB2312" w:eastAsia="仿宋_GB2312"/>
          <w:b w:val="0"/>
          <w:sz w:val="32"/>
        </w:rPr>
        <w:t>1.社会保障和就业支出（类）行政事业单位养老支出（款）事业单位离退休（项）：支出决算数为12.84万元，比上年决算减少51.02万元，下降79.89%，主要原因是：本年减少机关事业单位退休人员待遇。</w:t>
      </w:r>
    </w:p>
    <w:p>
      <w:pPr>
        <w:spacing w:line="580" w:lineRule="exact"/>
        <w:ind w:firstLine="640"/>
        <w:jc w:val="both"/>
      </w:pPr>
      <w:r>
        <w:rPr>
          <w:rFonts w:ascii="仿宋_GB2312" w:hAnsi="仿宋_GB2312" w:eastAsia="仿宋_GB2312"/>
          <w:b w:val="0"/>
          <w:sz w:val="32"/>
        </w:rPr>
        <w:t>2.社会保障和就业支出（类）行政事业单位养老支出（款）机关事业单位基本养老保险缴费支出（项）：支出决算数为198.48万元，比上年决算增加47.91万元，增长31.82%，主要原因是：本年原卫生监督所与疾控机构合并，在职人员增加，机关事业单位基本养老保险缴费支出增加。</w:t>
      </w:r>
    </w:p>
    <w:p>
      <w:pPr>
        <w:spacing w:line="580" w:lineRule="exact"/>
        <w:ind w:firstLine="640"/>
        <w:jc w:val="both"/>
      </w:pPr>
      <w:r>
        <w:rPr>
          <w:rFonts w:ascii="仿宋_GB2312" w:hAnsi="仿宋_GB2312" w:eastAsia="仿宋_GB2312"/>
          <w:b w:val="0"/>
          <w:sz w:val="32"/>
        </w:rPr>
        <w:t>3.社会保障和就业支出（类）行政事业单位养老支出（款）机关事业单位职业年金缴费支出（项）：支出决算数为122.54万元，比上年决算增加41.30万元，增长50.84%，主要原因是：本年原卫生监督所与疾控机构合并，在职人员数量增加，职业年金缴费支出增加。</w:t>
      </w:r>
    </w:p>
    <w:p>
      <w:pPr>
        <w:spacing w:line="580" w:lineRule="exact"/>
        <w:ind w:firstLine="640"/>
        <w:jc w:val="both"/>
      </w:pPr>
      <w:r>
        <w:rPr>
          <w:rFonts w:ascii="仿宋_GB2312" w:hAnsi="仿宋_GB2312" w:eastAsia="仿宋_GB2312"/>
          <w:b w:val="0"/>
          <w:sz w:val="32"/>
        </w:rPr>
        <w:t>4.卫生健康支出（类）卫生健康管理事务（款）其他卫生健康管理事务支出（项）：支出决算数为0.00万元，比上年决算减少3.15万元，下降100.00%，主要原因是：本年减少卫生健康人才培养项目。</w:t>
      </w:r>
    </w:p>
    <w:p>
      <w:pPr>
        <w:spacing w:line="580" w:lineRule="exact"/>
        <w:ind w:firstLine="640"/>
        <w:jc w:val="both"/>
      </w:pPr>
      <w:r>
        <w:rPr>
          <w:rFonts w:ascii="仿宋_GB2312" w:hAnsi="仿宋_GB2312" w:eastAsia="仿宋_GB2312"/>
          <w:b w:val="0"/>
          <w:sz w:val="32"/>
        </w:rPr>
        <w:t>5.卫生健康支出（类）公共卫生（款）疾病预防控制机构（项）：支出决算数为2,030.67万元，比上年决算增加728.84万元，增长55.99%，主要原因是：本年增加州直单位办公用房维修项目。</w:t>
      </w:r>
    </w:p>
    <w:p>
      <w:pPr>
        <w:spacing w:line="580" w:lineRule="exact"/>
        <w:ind w:firstLine="640"/>
        <w:jc w:val="both"/>
      </w:pPr>
      <w:r>
        <w:rPr>
          <w:rFonts w:ascii="仿宋_GB2312" w:hAnsi="仿宋_GB2312" w:eastAsia="仿宋_GB2312"/>
          <w:b w:val="0"/>
          <w:sz w:val="32"/>
        </w:rPr>
        <w:t>6.卫生健康支出（类）公共卫生（款）卫生监督机构（项）：支出决算数为217.67万元，比上年决算增加217.67万元，增长100.00%，主要原因是：本年原卫生监督所与疾控机构合并，人员经费支出增加。</w:t>
      </w:r>
    </w:p>
    <w:p>
      <w:pPr>
        <w:spacing w:line="580" w:lineRule="exact"/>
        <w:ind w:firstLine="640"/>
        <w:jc w:val="both"/>
      </w:pPr>
      <w:r>
        <w:rPr>
          <w:rFonts w:ascii="仿宋_GB2312" w:hAnsi="仿宋_GB2312" w:eastAsia="仿宋_GB2312"/>
          <w:b w:val="0"/>
          <w:sz w:val="32"/>
        </w:rPr>
        <w:t>7.卫生健康支出（类）公共卫生（款）基本公共卫生服务（项）：支出决算数为50.64万元，比上年决算减少18.33万元，下降26.58%，主要原因是：本年中央财政基本公共卫生服务补助资金较上年减少。</w:t>
      </w:r>
    </w:p>
    <w:p>
      <w:pPr>
        <w:spacing w:line="580" w:lineRule="exact"/>
        <w:ind w:firstLine="640"/>
        <w:jc w:val="both"/>
      </w:pPr>
      <w:r>
        <w:rPr>
          <w:rFonts w:ascii="仿宋_GB2312" w:hAnsi="仿宋_GB2312" w:eastAsia="仿宋_GB2312"/>
          <w:b w:val="0"/>
          <w:sz w:val="32"/>
        </w:rPr>
        <w:t>8.卫生健康支出（类）公共卫生（款）重大公共卫生服务（项）：支出决算数为625.34万元，比上年决算减少131.21万元，下降17.34%，主要原因是：本年中央财政重大公共卫生服务补助资金较上年减少。</w:t>
      </w:r>
    </w:p>
    <w:p>
      <w:pPr>
        <w:spacing w:line="580" w:lineRule="exact"/>
        <w:ind w:firstLine="640"/>
        <w:jc w:val="both"/>
      </w:pPr>
      <w:r>
        <w:rPr>
          <w:rFonts w:ascii="仿宋_GB2312" w:hAnsi="仿宋_GB2312" w:eastAsia="仿宋_GB2312"/>
          <w:b w:val="0"/>
          <w:sz w:val="32"/>
        </w:rPr>
        <w:t>9.卫生健康支出（类）公共卫生（款）其他公共卫生支出（项）：支出决算数为69.88万元，比上年决算减少8.75万元，下降11.13%，主要原因是：本年中央财政机构能力提升服务补助资金和卫生人才培养补助资金较上年减少。</w:t>
      </w:r>
    </w:p>
    <w:p>
      <w:pPr>
        <w:spacing w:line="580" w:lineRule="exact"/>
        <w:ind w:firstLine="640"/>
        <w:jc w:val="both"/>
      </w:pPr>
      <w:r>
        <w:rPr>
          <w:rFonts w:ascii="仿宋_GB2312" w:hAnsi="仿宋_GB2312" w:eastAsia="仿宋_GB2312"/>
          <w:b w:val="0"/>
          <w:sz w:val="32"/>
        </w:rPr>
        <w:t>10.卫生健康支出（类）行政事业单位医疗（款）行政单位医疗（项）：支出决算数为15.27万元，比上年决算增加15.27万元，增长100.00%，主要原因是：本年原卫生监督所与疾控机构合并，行政单位医疗支出较上年增加。</w:t>
      </w:r>
    </w:p>
    <w:p>
      <w:pPr>
        <w:spacing w:line="580" w:lineRule="exact"/>
        <w:ind w:firstLine="640"/>
        <w:jc w:val="both"/>
      </w:pPr>
      <w:r>
        <w:rPr>
          <w:rFonts w:ascii="仿宋_GB2312" w:hAnsi="仿宋_GB2312" w:eastAsia="仿宋_GB2312"/>
          <w:b w:val="0"/>
          <w:sz w:val="32"/>
        </w:rPr>
        <w:t>11.卫生健康支出（类）行政事业单位医疗（款）事业单位医疗（项）：支出决算数为102.15万元，比上年决算增加26.65万元，增长35.30%，主要原因是：本年在职人员工资基数调增，医疗缴费基数上涨，相应支出增加。</w:t>
      </w:r>
    </w:p>
    <w:p>
      <w:pPr>
        <w:spacing w:line="580" w:lineRule="exact"/>
        <w:ind w:firstLine="640"/>
        <w:jc w:val="both"/>
      </w:pPr>
      <w:r>
        <w:rPr>
          <w:rFonts w:ascii="仿宋_GB2312" w:hAnsi="仿宋_GB2312" w:eastAsia="仿宋_GB2312"/>
          <w:b w:val="0"/>
          <w:sz w:val="32"/>
        </w:rPr>
        <w:t>12.卫生健康支出（类）行政事业单位医疗（款）公务员医疗补助（项）：支出决算数为45.87万元，比上年决算增加41.21万元，增长884.33%，主要原因是：本年原卫生监督所与疾控机构合并，该科目决算数增加。本年在职人员工资基数调增，医疗缴费基数上涨，相应支出增加。</w:t>
      </w:r>
    </w:p>
    <w:p>
      <w:pPr>
        <w:spacing w:line="580" w:lineRule="exact"/>
        <w:ind w:firstLine="640"/>
        <w:jc w:val="both"/>
      </w:pPr>
      <w:r>
        <w:rPr>
          <w:rFonts w:ascii="仿宋_GB2312" w:hAnsi="仿宋_GB2312" w:eastAsia="仿宋_GB2312"/>
          <w:b w:val="0"/>
          <w:sz w:val="32"/>
        </w:rPr>
        <w:t>13.卫生健康支出（类）行政事业单位医疗（款）其他行政事业单位医疗支出（项）：支出决算数为1.18万元，比上年决算增加0.22万元，增长22.92%，主要原因是：本年在职人员工资基数调增，医疗缴费基数上涨，相应支出增加。</w:t>
      </w:r>
    </w:p>
    <w:p>
      <w:pPr>
        <w:spacing w:line="580" w:lineRule="exact"/>
        <w:ind w:firstLine="640"/>
        <w:jc w:val="both"/>
      </w:pPr>
      <w:r>
        <w:rPr>
          <w:rFonts w:ascii="仿宋_GB2312" w:hAnsi="仿宋_GB2312" w:eastAsia="仿宋_GB2312"/>
          <w:b w:val="0"/>
          <w:sz w:val="32"/>
        </w:rPr>
        <w:t>14.资源勘探工业信息等支出（类）制造业（款）通信设备、计算机及其他电子设备制造业（项）：支出决算数为8.21万元，比上年决算增加8.21万元，增长100.00%，主要原因是：本年增加专项资金。</w:t>
      </w:r>
    </w:p>
    <w:p>
      <w:pPr>
        <w:spacing w:line="580" w:lineRule="exact"/>
        <w:ind w:firstLine="640"/>
        <w:jc w:val="both"/>
      </w:pPr>
      <w:r>
        <w:rPr>
          <w:rFonts w:ascii="仿宋_GB2312" w:hAnsi="仿宋_GB2312" w:eastAsia="仿宋_GB2312"/>
          <w:b w:val="0"/>
          <w:sz w:val="32"/>
        </w:rPr>
        <w:t>15.住房保障支出（类）住房改革支出（款）住房公积金（项）：支出决算数为159.82万元，比上年决算增加40.65万元，增长34.11%，主要原因是：本年原卫生监督所与疾控机构合并，该科目决算数增加。本年在职人员工资基数调增，公积金缴费基数上涨，相应支出增加。</w:t>
      </w:r>
    </w:p>
    <w:p>
      <w:pPr>
        <w:spacing w:line="580" w:lineRule="exact"/>
        <w:ind w:firstLine="640"/>
        <w:jc w:val="both"/>
      </w:pPr>
      <w:r>
        <w:rPr>
          <w:rFonts w:ascii="仿宋_GB2312" w:hAnsi="仿宋_GB2312" w:eastAsia="仿宋_GB2312"/>
          <w:b w:val="0"/>
          <w:sz w:val="32"/>
        </w:rPr>
        <w:t>16.其他支出（类）其他支出（款）其他支出（项）：支出决算数为3.45万元，比上年决算增加1.22万元，增长54.71%，主要原因是：本年增加驻村补助支出。</w:t>
      </w:r>
    </w:p>
    <w:p>
      <w:pPr>
        <w:spacing w:line="640" w:lineRule="exact"/>
        <w:ind w:firstLine="640"/>
        <w:jc w:val="both"/>
        <w:outlineLvl w:val="2"/>
      </w:pPr>
      <w:r>
        <w:rPr>
          <w:rFonts w:ascii="黑体" w:hAnsi="黑体" w:eastAsia="黑体"/>
          <w:sz w:val="32"/>
        </w:rPr>
        <w:t>六、一般公共预算财政拨款基本支出决算情况说明</w:t>
      </w:r>
    </w:p>
    <w:p>
      <w:pPr>
        <w:spacing w:line="580" w:lineRule="exact"/>
        <w:ind w:firstLine="640"/>
        <w:jc w:val="both"/>
      </w:pPr>
      <w:r>
        <w:rPr>
          <w:rFonts w:ascii="仿宋_GB2312" w:hAnsi="仿宋_GB2312" w:eastAsia="仿宋_GB2312"/>
          <w:b w:val="0"/>
          <w:sz w:val="32"/>
        </w:rPr>
        <w:t>2025年度一般公共预算财政拨款基本支出2,532.00万元，其中：</w:t>
      </w:r>
      <w:r>
        <w:rPr>
          <w:rFonts w:ascii="仿宋_GB2312" w:hAnsi="仿宋_GB2312" w:eastAsia="仿宋_GB2312"/>
          <w:b/>
          <w:sz w:val="32"/>
        </w:rPr>
        <w:t>人员经费2,347.71万元，</w:t>
      </w:r>
      <w:r>
        <w:rPr>
          <w:rFonts w:ascii="仿宋_GB2312" w:hAnsi="仿宋_GB2312" w:eastAsia="仿宋_GB2312"/>
          <w:b w:val="0"/>
          <w:sz w:val="32"/>
        </w:rPr>
        <w:t>包括：基本工资、津贴补贴、奖金、绩效工资、机关事业单位基本养老保险缴费、职业年金缴费、职工基本医疗保险缴费、公务员医疗补助缴费、其他社会保障缴费、住房公积金、其他工资福利支出、离休费、退休费、抚恤金、奖励金。</w:t>
      </w:r>
    </w:p>
    <w:p>
      <w:pPr>
        <w:spacing w:line="580" w:lineRule="exact"/>
        <w:ind w:firstLine="640"/>
        <w:jc w:val="both"/>
      </w:pPr>
      <w:r>
        <w:rPr>
          <w:rFonts w:ascii="仿宋_GB2312" w:hAnsi="仿宋_GB2312" w:eastAsia="仿宋_GB2312"/>
          <w:b/>
          <w:sz w:val="32"/>
        </w:rPr>
        <w:t>公用经费184.29万元，</w:t>
      </w:r>
      <w:r>
        <w:rPr>
          <w:rFonts w:ascii="仿宋_GB2312" w:hAnsi="仿宋_GB2312" w:eastAsia="仿宋_GB2312"/>
          <w:b w:val="0"/>
          <w:sz w:val="32"/>
        </w:rPr>
        <w:t>包括：办公费、水费、电费、邮电费、取暖费、差旅费、维修（护）费、公务接待费、劳务费、工会经费、福利费、公务用车运行维护费、其他商品和服务支出。</w:t>
      </w:r>
    </w:p>
    <w:p>
      <w:pPr>
        <w:spacing w:line="640" w:lineRule="exact"/>
        <w:ind w:firstLine="640"/>
        <w:jc w:val="both"/>
        <w:outlineLvl w:val="2"/>
      </w:pPr>
      <w:r>
        <w:rPr>
          <w:rFonts w:ascii="黑体" w:hAnsi="黑体" w:eastAsia="黑体"/>
          <w:sz w:val="32"/>
        </w:rPr>
        <w:t>七、政府性基金预算财政拨款收入支出决算情况说明</w:t>
      </w:r>
    </w:p>
    <w:p>
      <w:pPr>
        <w:spacing w:line="580" w:lineRule="exact"/>
        <w:ind w:firstLine="640"/>
        <w:jc w:val="both"/>
      </w:pPr>
      <w:r>
        <w:rPr>
          <w:rFonts w:ascii="仿宋_GB2312" w:hAnsi="仿宋_GB2312" w:eastAsia="仿宋_GB2312"/>
          <w:b w:val="0"/>
          <w:sz w:val="32"/>
        </w:rPr>
        <w:t>本单位本年度无政府性基金预算财政拨款收入、支出及结转和结余，政府性基金预算财政拨款收入支出决算表为空表。</w:t>
      </w:r>
    </w:p>
    <w:p>
      <w:pPr>
        <w:spacing w:line="640" w:lineRule="exact"/>
        <w:ind w:firstLine="640"/>
        <w:jc w:val="both"/>
        <w:outlineLvl w:val="2"/>
      </w:pPr>
      <w:r>
        <w:rPr>
          <w:rFonts w:ascii="黑体" w:hAnsi="黑体" w:eastAsia="黑体"/>
          <w:sz w:val="32"/>
        </w:rPr>
        <w:t>八、国有资本经营预算财政拨款收入支出决算情况说明</w:t>
      </w:r>
    </w:p>
    <w:p>
      <w:pPr>
        <w:spacing w:line="580" w:lineRule="exact"/>
        <w:ind w:firstLine="640"/>
        <w:jc w:val="both"/>
      </w:pPr>
      <w:r>
        <w:rPr>
          <w:rFonts w:ascii="仿宋_GB2312" w:hAnsi="仿宋_GB2312" w:eastAsia="仿宋_GB2312"/>
          <w:b w:val="0"/>
          <w:sz w:val="32"/>
        </w:rPr>
        <w:t>本单位本年度无国有资本经营预算财政拨款收入、支出及结转和结余，国有资本经营预算财政拨款收入支出决算表为空表。</w:t>
      </w:r>
    </w:p>
    <w:p>
      <w:pPr>
        <w:spacing w:line="640" w:lineRule="exact"/>
        <w:ind w:firstLine="640"/>
        <w:jc w:val="both"/>
        <w:outlineLvl w:val="2"/>
      </w:pPr>
      <w:r>
        <w:rPr>
          <w:rFonts w:ascii="黑体" w:hAnsi="黑体" w:eastAsia="黑体"/>
          <w:sz w:val="32"/>
        </w:rPr>
        <w:t>九、财政拨款“三公”经费支出决算情况说明</w:t>
      </w:r>
    </w:p>
    <w:p>
      <w:pPr>
        <w:spacing w:line="580" w:lineRule="exact"/>
        <w:ind w:firstLine="640"/>
        <w:jc w:val="both"/>
      </w:pPr>
      <w:r>
        <w:rPr>
          <w:rFonts w:ascii="仿宋_GB2312" w:hAnsi="仿宋_GB2312" w:eastAsia="仿宋_GB2312"/>
          <w:b/>
          <w:sz w:val="32"/>
        </w:rPr>
        <w:t>2025年度财政拨款“三公”经费支出22.19万元，</w:t>
      </w:r>
      <w:r>
        <w:rPr>
          <w:rFonts w:ascii="仿宋_GB2312" w:hAnsi="仿宋_GB2312" w:eastAsia="仿宋_GB2312"/>
          <w:b w:val="0"/>
          <w:sz w:val="32"/>
        </w:rPr>
        <w:t>比上年增加3.99万元，增长21.92%，主要原因是：本年原卫生监督所与疾控机构合并，因业务需求，用车次数增加，燃油费增加，导致公务用车运行维护费较上年增加。</w:t>
      </w:r>
      <w:r>
        <w:rPr>
          <w:rFonts w:ascii="仿宋_GB2312" w:hAnsi="仿宋_GB2312" w:eastAsia="仿宋_GB2312"/>
          <w:b w:val="0"/>
          <w:sz w:val="32"/>
        </w:rPr>
        <w:t>其中：因公出国（境）费用支出0.00万元，占0.00%，比上年增加0.00万元，增长0.00%，主要原因是：2024年与2025年均无因公出国（境）费用支出。</w:t>
      </w:r>
      <w:r>
        <w:rPr>
          <w:rFonts w:ascii="仿宋_GB2312" w:hAnsi="仿宋_GB2312" w:eastAsia="仿宋_GB2312"/>
          <w:b w:val="0"/>
          <w:sz w:val="32"/>
        </w:rPr>
        <w:t>公务用车购置及运行维护费支出22.00万元，占99.14%，比上年增加4.00万元，增长22.22%，主要原因是：本年原卫生监督所与疾控机构合并，因业务需求，用车次数增加，燃油费增加，导致公务用车运行维护费较上年增加。</w:t>
      </w:r>
      <w:r>
        <w:rPr>
          <w:rFonts w:ascii="仿宋_GB2312" w:hAnsi="仿宋_GB2312" w:eastAsia="仿宋_GB2312"/>
          <w:b w:val="0"/>
          <w:sz w:val="32"/>
        </w:rPr>
        <w:t>公务接待费支出0.19万元，占0.86%，比上年减少0.01万元，下降5.00%，主要原因是：严格落实中央八项规定精神，厉行节约，减少公务接待费。</w:t>
      </w:r>
    </w:p>
    <w:p>
      <w:pPr>
        <w:spacing w:line="580" w:lineRule="exact"/>
        <w:ind w:firstLine="640"/>
        <w:jc w:val="both"/>
      </w:pPr>
      <w:r>
        <w:rPr>
          <w:rFonts w:ascii="仿宋_GB2312" w:hAnsi="仿宋_GB2312" w:eastAsia="仿宋_GB2312"/>
          <w:b/>
          <w:sz w:val="32"/>
        </w:rPr>
        <w:t>具体情况如下：</w:t>
      </w:r>
    </w:p>
    <w:p>
      <w:pPr>
        <w:spacing w:line="580" w:lineRule="exact"/>
        <w:ind w:firstLine="640"/>
        <w:jc w:val="both"/>
      </w:pPr>
      <w:r>
        <w:rPr>
          <w:rFonts w:ascii="仿宋_GB2312" w:hAnsi="仿宋_GB2312" w:eastAsia="仿宋_GB2312"/>
          <w:b w:val="0"/>
          <w:sz w:val="32"/>
        </w:rPr>
        <w:t>因公出国（境）费用0.00万元，开支内容包括本单位无因公出国（境）费用。单位全年安排的因公出国（境）团组0个，因公出国（境）0人次。</w:t>
      </w:r>
    </w:p>
    <w:p>
      <w:pPr>
        <w:spacing w:line="580" w:lineRule="exact"/>
        <w:ind w:firstLine="640"/>
        <w:jc w:val="both"/>
      </w:pPr>
      <w:r>
        <w:rPr>
          <w:rFonts w:ascii="仿宋_GB2312" w:hAnsi="仿宋_GB2312" w:eastAsia="仿宋_GB2312"/>
          <w:b w:val="0"/>
          <w:sz w:val="32"/>
        </w:rPr>
        <w:t>公务用车购置及运行维护费22.00万元，其中：公务用车购置费0.00万元，公务用车运行维护费22.00万元。公务用车运行维护费开支内容包括车辆燃油费、保险费、维修维护费、过路费等。公务用车购置数0辆，公务用车保有量10辆。国有资产占用情况中固定资产车辆10辆，与公务用车保有量差异原因是：本单位公务用车保有量与固定资产车辆一致无差异。</w:t>
      </w:r>
    </w:p>
    <w:p>
      <w:pPr>
        <w:spacing w:line="580" w:lineRule="exact"/>
        <w:ind w:firstLine="640"/>
        <w:jc w:val="both"/>
      </w:pPr>
      <w:r>
        <w:rPr>
          <w:rFonts w:ascii="仿宋_GB2312" w:hAnsi="仿宋_GB2312" w:eastAsia="仿宋_GB2312"/>
          <w:b w:val="0"/>
          <w:sz w:val="32"/>
        </w:rPr>
        <w:t>公务接待费0.19万元，开支内容包括因自治区结核病开展3·24活动、福建援疆专家来昌开展项目工作、福建援疆专家来昌帮扶、福建省医科大学开展“访3企拓岗就业”活动，接待上级领导和工作人员检查产生的就餐费。单位全年安排的国内公务接待4批次，22人次。</w:t>
      </w:r>
    </w:p>
    <w:p>
      <w:pPr>
        <w:spacing w:line="580" w:lineRule="exact"/>
        <w:ind w:firstLine="640"/>
        <w:jc w:val="both"/>
      </w:pPr>
      <w:r>
        <w:rPr>
          <w:rFonts w:ascii="仿宋_GB2312" w:hAnsi="仿宋_GB2312" w:eastAsia="仿宋_GB2312"/>
          <w:b/>
          <w:sz w:val="32"/>
        </w:rPr>
        <w:t>与全年预算相比，</w:t>
      </w:r>
      <w:r>
        <w:rPr>
          <w:rFonts w:ascii="仿宋_GB2312" w:hAnsi="仿宋_GB2312" w:eastAsia="仿宋_GB2312"/>
          <w:b w:val="0"/>
          <w:sz w:val="32"/>
        </w:rPr>
        <w:t>财政拨款“三公”经费支出全年预算数22.19万元，决算数22.19万元，预决算差异率0.00%，主要原因是：严格按照预算执行，预决算无差异。其中：因公出国（境）费用全年预算数0.00万元，决算数0.00万元，预决算差异率0.00%，主要原因是：本单位无因公出国（境）费用。公务用车购置费全年预算数0.00万元，决算数0.00万元，预决算差异率0.00%，主要原因是：本单位无公务用车购置费。公务用车运行维护费全年预算数22.00万元，决算数22.00万元，预决算差异率0.00%，主要原因是：严格按照预算执行，预决算无差异。公务接待费全年预算数0.19万元，决算数0.19万元，预决算差异率0.00%，主要原因是：严格按照预算执行，预决算无差异。</w:t>
      </w:r>
    </w:p>
    <w:p>
      <w:pPr>
        <w:spacing w:line="640" w:lineRule="exact"/>
        <w:ind w:firstLine="640"/>
        <w:jc w:val="both"/>
        <w:outlineLvl w:val="2"/>
      </w:pPr>
      <w:r>
        <w:rPr>
          <w:rFonts w:ascii="黑体" w:hAnsi="黑体" w:eastAsia="黑体"/>
          <w:sz w:val="32"/>
        </w:rPr>
        <w:t>十、其他重要事项的情况说明</w:t>
      </w:r>
    </w:p>
    <w:p>
      <w:pPr>
        <w:spacing w:line="640" w:lineRule="exact"/>
        <w:ind w:firstLine="640"/>
        <w:jc w:val="both"/>
        <w:outlineLvl w:val="3"/>
      </w:pPr>
      <w:r>
        <w:rPr>
          <w:rFonts w:ascii="楷体_GB2312" w:hAnsi="楷体_GB2312" w:eastAsia="楷体_GB2312"/>
          <w:b/>
          <w:sz w:val="32"/>
        </w:rPr>
        <w:t>（一）机关运行经费及公用经费支出情况</w:t>
      </w:r>
    </w:p>
    <w:p>
      <w:pPr>
        <w:spacing w:line="580" w:lineRule="exact"/>
        <w:ind w:firstLine="640"/>
        <w:jc w:val="both"/>
      </w:pPr>
      <w:r>
        <w:rPr>
          <w:rFonts w:ascii="仿宋_GB2312" w:hAnsi="仿宋_GB2312" w:eastAsia="仿宋_GB2312"/>
          <w:b w:val="0"/>
          <w:sz w:val="32"/>
        </w:rPr>
        <w:t>2025年度昌吉回族自治州疾病预防控制中心（昌吉回族自治州卫生监督所）（事业单位）公用经费支出184.29万元，比上年增加55.44万元，增长43.03%，主要原因是：本年原卫生监督所与疾控机构合并，劳务费、工会经费等公用经费支出增加。</w:t>
      </w:r>
    </w:p>
    <w:p>
      <w:pPr>
        <w:spacing w:line="640" w:lineRule="exact"/>
        <w:ind w:firstLine="640"/>
        <w:jc w:val="both"/>
        <w:outlineLvl w:val="3"/>
      </w:pPr>
      <w:r>
        <w:rPr>
          <w:rFonts w:ascii="楷体_GB2312" w:hAnsi="楷体_GB2312" w:eastAsia="楷体_GB2312"/>
          <w:b/>
          <w:sz w:val="32"/>
        </w:rPr>
        <w:t>（二）政府采购情况</w:t>
      </w:r>
    </w:p>
    <w:p>
      <w:pPr>
        <w:spacing w:line="580" w:lineRule="exact"/>
        <w:ind w:firstLine="640"/>
        <w:jc w:val="both"/>
      </w:pPr>
      <w:r>
        <w:rPr>
          <w:rFonts w:ascii="仿宋_GB2312" w:hAnsi="仿宋_GB2312" w:eastAsia="仿宋_GB2312"/>
          <w:b w:val="0"/>
          <w:sz w:val="32"/>
        </w:rPr>
        <w:t>2025年度政府采购支出总额1,066.03万元，其中：政府采购货物支出511.47万元、政府采购工程支出249.05万元、政府采购服务支出305.52万元。</w:t>
      </w:r>
    </w:p>
    <w:p>
      <w:pPr>
        <w:spacing w:line="580" w:lineRule="exact"/>
        <w:ind w:firstLine="640"/>
        <w:jc w:val="both"/>
      </w:pPr>
      <w:r>
        <w:rPr>
          <w:rFonts w:ascii="仿宋_GB2312" w:hAnsi="仿宋_GB2312" w:eastAsia="仿宋_GB2312"/>
          <w:b w:val="0"/>
          <w:sz w:val="32"/>
        </w:rPr>
        <w:t>授予中小企业合同金额1,066.03万元，占政府采购支出总额的100.00%，其中：授予小微企业合同金额1,066.03万元，占政府采购支出总额的100.00%。</w:t>
      </w:r>
    </w:p>
    <w:p>
      <w:pPr>
        <w:spacing w:line="640" w:lineRule="exact"/>
        <w:ind w:firstLine="640"/>
        <w:jc w:val="both"/>
        <w:outlineLvl w:val="3"/>
      </w:pPr>
      <w:r>
        <w:rPr>
          <w:rFonts w:ascii="楷体_GB2312" w:hAnsi="楷体_GB2312" w:eastAsia="楷体_GB2312"/>
          <w:b/>
          <w:sz w:val="32"/>
        </w:rPr>
        <w:t>（三）国有资产占用情况说明</w:t>
      </w:r>
    </w:p>
    <w:p>
      <w:pPr>
        <w:spacing w:line="580" w:lineRule="exact"/>
        <w:ind w:firstLine="640"/>
        <w:jc w:val="both"/>
      </w:pPr>
      <w:r>
        <w:rPr>
          <w:rFonts w:ascii="仿宋_GB2312" w:hAnsi="仿宋_GB2312" w:eastAsia="仿宋_GB2312"/>
          <w:b w:val="0"/>
          <w:sz w:val="32"/>
        </w:rPr>
        <w:t>截至2025年12月31日，房屋8,838.31平方米，价值1,317.28万元。车辆10辆，价值263.63万元，其中：副部（省）级及以上领导用车0辆、主要负责人用车0辆、机要通信用车0辆、应急保障用车1辆、执法执勤用车0辆、特种专业技术用车7辆、离退休干部服务用车0辆、其他用车2辆，其他用车主要是：一般公务用车。单价100万元（含）以上设备（不含车辆）8台（套）。</w:t>
      </w:r>
    </w:p>
    <w:p>
      <w:pPr>
        <w:spacing w:line="640" w:lineRule="exact"/>
        <w:ind w:firstLine="640"/>
        <w:jc w:val="both"/>
        <w:outlineLvl w:val="2"/>
      </w:pPr>
      <w:r>
        <w:rPr>
          <w:rFonts w:ascii="黑体" w:hAnsi="黑体" w:eastAsia="黑体"/>
          <w:sz w:val="32"/>
        </w:rPr>
        <w:t>十一、预算绩效的情况说明</w:t>
      </w:r>
    </w:p>
    <w:p>
      <w:pPr>
        <w:spacing w:line="580" w:lineRule="exact"/>
        <w:ind w:firstLine="640"/>
        <w:jc w:val="both"/>
      </w:pPr>
      <w:r>
        <w:rPr>
          <w:rFonts w:ascii="仿宋_GB2312" w:hAnsi="仿宋_GB2312" w:eastAsia="仿宋_GB2312"/>
          <w:b w:val="0"/>
          <w:sz w:val="32"/>
        </w:rPr>
        <w:t>根据预算绩效管理要求，本单位2025年度预算绩效管理形成整体支出绩效自评表1个，全年预算总额3,686.04万元，实际执行总额3,686.04万元；预算绩效评价项目19个，全年预算数1,190.58万元，全年执行数1,159.57万元。预算绩效管理取得的成效：一是慎终如始抓好常态化疫情防控工作，始终坚守疫情防控底线，常态化开展疫情监测、风险排查和防控部署，精准落实各项防控举措，坚决守住公共卫生安全防线；二是强化卫生应急处置能力与疾控业务建设，全面做好各类重大突发事件的卫生应急处置工作，落实各项重大活动的卫生应急保障任务，加强卫生应急队伍规范化建设，完善应急处置机制，提升应急响应和处置效能；三是强化免疫规划与实验室检验监测工作，巩固免疫规划规范化管理专项整治成效，健全工作机制，细化工作举措，不断提高免疫规划工作质量和水平，切实筑牢免疫防护屏障。发现的问题及原因：一是绩效与预算管理存在短板。全年工作中，绩效指标设定的明确性、可衡量性及与疾控工作的相关性仍有提升空间，部分指标未能充分结合常态化疫情防控、免疫规划、实验室建设等核心工作实际，导致指标导向性不够清晰；二是履职能力与应急处置水平有待提升。一方面，业务人员对绩效管理工作的认识不够深入，绩效管理意识薄弱，未能充分理解其对规范疾控工作、提升服务质量的重要意义，绩效管理经验不足，相关工作落实不够扎实，未能将绩效管理与日常疾控业务、疫苗接种、监督检查等工作深度融合。下一步改进措施：一是针对绩效与预算管理短板的改进措施。结合疾控工作核心职责，聚焦常态化疫情防控、免疫规划、实验室建设、卫生监督等重点工作，优化绩效指标设定，明确指标具体标准、考核方式，增强指标的明确性、可衡量性和与业务工作的关联性，避免指标与实际工作脱节，建立预算执行动态监测机制，定期开展预算执行督查，及时调整优化资金分配，强化预算与业务工作的衔接，充分发挥预算对疾控工作的支撑作用，切实提升预算管理效能，补齐绩效与预算管理短板；二是针对履职能力与应急处置水平不足的改进措施。强化业务人员培训，通过专题授课、案例研讨、实操演练等方式，提升工作人员对绩效管理的认知，明确绩效管理与日常疾控业务、疫苗接种、监督检查等工作的关联，积累绩效管理经验，推动绩效管理与业务工作深度融合。具体附整体支出绩效自评表、项目支出绩效自评表及项目支出绩效评价报告。</w:t>
      </w:r>
    </w:p>
    <w:p>
      <w:r>
        <w:br w:type="page"/>
      </w:r>
    </w:p>
    <w:tbl>
      <w:tblPr>
        <w:tblW w:type="pct" w:w="5000"/>
        <w:tblLayout w:type="fixed"/>
        <w:tblLook w:firstColumn="1" w:firstRow="1" w:lastColumn="0" w:lastRow="0" w:noHBand="0" w:noVBand="1" w:val="04A0"/>
        <w:tblCellMar>
          <w:top w:w="36" w:type="dxa"/>
          <w:left w:w="36" w:type="dxa"/>
          <w:bottom w:w="36" w:type="dxa"/>
          <w:right w:w="36" w:type="dxa"/>
        </w:tblCellMar>
      </w:tblPr>
      <w:tblGrid>
        <w:gridCol w:w="477"/>
        <w:gridCol w:w="1187"/>
        <w:gridCol w:w="1256"/>
        <w:gridCol w:w="1226"/>
        <w:gridCol w:w="994"/>
        <w:gridCol w:w="1032"/>
        <w:gridCol w:w="794"/>
        <w:gridCol w:w="935"/>
        <w:gridCol w:w="942"/>
      </w:tblGrid>
      <w:tr>
        <w:trPr>
          <w:trHeight w:val="522" w:hRule="atLeast"/>
          <w:cantSplit/>
        </w:trPr>
        <w:tc>
          <w:tcPr>
            <w:tcW w:type="dxa" w:w="983"/>
            <w:gridSpan w:val="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部门（单位）整体支出绩效目标自评表</w:t>
            </w:r>
          </w:p>
        </w:tc>
      </w:tr>
      <w:tr>
        <w:trPr>
          <w:trHeight w:val="360" w:hRule="atLeast"/>
          <w:cantSplit/>
        </w:trPr>
        <w:tc>
          <w:tcPr>
            <w:tcW w:type="dxa" w:w="983"/>
            <w:gridSpan w:val="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660" w:hRule="atLeast"/>
          <w:cantSplit/>
        </w:trPr>
        <w:tc>
          <w:tcPr>
            <w:tcW w:type="dxa" w:w="98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部门（单位）名称</w:t>
            </w:r>
          </w:p>
        </w:tc>
        <w:tc>
          <w:tcPr>
            <w:tcW w:type="dxa" w:w="98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昌吉回族自治州疾病预防控制中心（昌吉回族自治州卫生监督所）</w:t>
            </w:r>
          </w:p>
        </w:tc>
      </w:tr>
      <w:tr>
        <w:trPr>
          <w:trHeight w:val="570" w:hRule="atLeast"/>
          <w:cantSplit/>
        </w:trPr>
        <w:tc>
          <w:tcPr>
            <w:tcW w:type="dxa" w:w="98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部门资金（万元）</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资金来源</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年初预算数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全年预算数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全年执行数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分值权重</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执行率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得分</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上级资金</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666.84</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687.20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687.20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本级资金</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2,098.70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2,976.83</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2,976.83</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其他资金</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9.40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22.01</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22.01</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合计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2,774.94</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3,686.04</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3,686.04</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r>
      <w:tr>
        <w:trPr>
          <w:trHeight w:val="705" w:hRule="atLeast"/>
          <w:cantSplit/>
        </w:trPr>
        <w:tc>
          <w:tcPr>
            <w:tcW w:type="dxa" w:w="98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年度总体目标</w:t>
            </w:r>
          </w:p>
        </w:tc>
        <w:tc>
          <w:tcPr>
            <w:tcW w:type="dxa" w:w="983"/>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预期目标</w:t>
            </w:r>
          </w:p>
        </w:tc>
        <w:tc>
          <w:tcPr>
            <w:tcW w:type="dxa" w:w="98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实际完成情况</w:t>
            </w:r>
          </w:p>
        </w:tc>
      </w:tr>
      <w:tr>
        <w:trPr>
          <w:trHeight w:val="2000" w:hRule="atLeast"/>
        </w:trPr>
        <w:tc>
          <w:tcPr>
            <w:tcW w:type="dxa" w:w="983"/>
            <w:gridSpan w:val="2"/>
            <w:vMerge/>
            <w:tcBorders>
              <w:start w:sz="10" w:val="single"/>
              <w:top w:sz="10" w:val="single"/>
              <w:end w:sz="10" w:val="single"/>
              <w:bottom w:sz="10" w:val="single"/>
              <w:insideV w:sz="10" w:val="single"/>
            </w:tcBorders>
          </w:tcPr>
          <w:p/>
        </w:tc>
        <w:tc>
          <w:tcPr>
            <w:tcW w:type="dxa" w:w="983"/>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一是按照区州政府部门要求，依据《2019年-2022年艾滋病防治行动计划》指导各县市如期完成2025年度性病、艾滋病和丙肝综合防治工作的各项指标。实现及早发现并规范治疗，同时逐步完善医疗保障政策，使患者负担进一步减轻，艾滋病疫情势头得到明显遏制。二是依据《国家结核病防治指南》、《自治区2025年结核病防治专项行动计划》的要求，完成昌吉州结核病防治工作。逐步加强全州基层结核病防治医务人员的诊疗能力、逐步提升结核病防治人员工作能力，从而降低结核病发病率，保障人民群众身体健康。三是依据《疫苗管理法》、《疫苗流通与预防接种管理条例》、《预防接种工作规范》等要求，针对本级及各县市冷链进行规范管理和指导，使国家免疫规划疫苗和非免疫规划疫苗实现全过程温控监测，确保疫苗效价，保障疫苗质量。四是根据《新疆维吾尔自治区基层工会经费收支管理办法实施细则》（新工办【2019】3号）文件精神，和州本级配发的机构运行经费，运用于职工节日慰问、联谊、帮扶、送温暖等，以此保障工会会员的权益，同时维护机构稳定运行。五是依据《自治区食品安全风险监测方案》、《关于国家遏制艾滋病传染方案》（2019-2022）、《自治区2025年结核病防治专项行动计划》、《自治区学生常见病工作实施方案》、《自治区死因监测工作实施方案》等，完成2025年度重大传染病防控和基本公共卫生防控工作，保障全域人民群众生命安全，降低疾病的传播性，逐步提高医务人员工作能力。</w:t>
            </w:r>
          </w:p>
        </w:tc>
        <w:tc>
          <w:tcPr>
            <w:tcW w:type="dxa" w:w="98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 年我单位全年预算数为3686.04万元，全年执行数为 3686.04万元，总预算执行率为 100% 。2025年我单位完成以下工作内容：全面落实各项政策要求，经年终核查，所有三级指标均圆满完成，指标完成率达100%，全面达成各项预期目标，有效推动疾控事业高质量发展，切实履行重大传染病防控、基本公共卫生服务及机构保障等核心职责。“结核病防治督导与宣传”指标，严格依据《国家结核病防治指南》《自治区2025年结核病防治专项行动计划》要求推进，年初设定目标不少于2次，年中完成1次、完成率50%，年终实际完成2次。通过落实相关培训及宣传方案，不仅强化了健康危害因素监测控制与健康宣教能力，更加强了全州基层结核病防治医务人员的诊疗能力和工作能力，助力降低结核病发病率，夯实了疾病预防核心职能。“冷链疫苗温度监测稳定运行（年）”指标，依据《疫苗管理法》《疫苗流通与预防接种管理条例》《预防接种工作规范》要求开展，年初目标不少于12次，年中完成5次且疫苗存储温度全部达标，年终实际完成12次，实现国家免疫规划疫苗和非免疫规划疫苗全过程温控监测，有效强化疫苗全流程管理，确保疫苗效价和质量，筑牢人群免疫屏障，助力疫苗冷链规范化管理水平提升。“全州范围内开展监督检查”指标，围绕年初绩效目标中重大传染病防控和基本公共卫生防控工作要求推进，年初目标不少于7次，上半年完成6次、完成率85.71%，年终实际完成7次，实现全州7县市监督检查全覆盖，健全了传染病卫生监督长效机制，提升了监督执法效能，助力降低疾病传播性、提高医务人员工作能力。“全州以乡（镇）为单位适龄儿童免疫规划疫苗接种率”指标，衔接疫苗冷链规范管理要求，年初目标不低于90%，上半年完成率50.63%，年终实际达99.13%，超额完成目标，持续增强人群免疫屏障，守护适龄儿童身体健康，切实落实预防接种相关工作要求。“双随机监督抽查完成率”指标，结合年初重大传染病防控和卫生监督相关目标要求，年初目标不低于85%，上半年未达监控节点，年终实际完成85%，符合国家相关要求，规范了卫生监督执法流程，完善了卫生监督体系，同时衔接《自治区食品安全风险监测方案》《关于国家遏制艾滋病传染方案》（2019-2022）等相关工作要求，助力提升卫生监督规范化水平。此外，我部门严格按照《新疆维吾尔自治区基层工会经费收支管理办法实施细则》（新工办【2019】3号）文件精神，将州本级配发的机构运行经费用于职工节日慰问、联谊、帮扶、送温暖等，切实保障工会会员权益，维护机构稳定运行。
综上，2025年度我部门严格落实年初各项绩效目标计划，紧扣相关政策要求，圆满完成所有三级指标，有效衔接重大传染病防控、疫苗管理、工会保障等各项重点工作，强化州级对县市疾控中心的业务指导，推动上下联动协同，切实提升履职效能，不仅遏制了艾滋病等重大传染病疫情势头、降低了结核病发病率，更保障了全域人民群众生命安全和工会会员权益，为疾控事业高质量发展提供了有力支撑。</w:t>
            </w:r>
          </w:p>
        </w:tc>
      </w:tr>
      <w:tr>
        <w:trPr>
          <w:trHeight w:val="580" w:hRule="atLeast"/>
          <w:cantSplit/>
        </w:trPr>
        <w:tc>
          <w:tcPr>
            <w:tcW w:type="dxa" w:w="983"/>
            <w:gridSpan w:val="2"/>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一级指标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二级指标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三级指标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预期指标值</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指标值设定依据</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分值权重</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实际完成指标值</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得分</w:t>
            </w:r>
          </w:p>
        </w:tc>
      </w:tr>
      <w:tr>
        <w:trPr>
          <w:trHeight w:val="740" w:hRule="atLeast"/>
          <w:cantSplit/>
        </w:trPr>
        <w:tc>
          <w:tcPr>
            <w:tcW w:type="dxa" w:w="98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履职效能</w:t>
            </w:r>
          </w:p>
        </w:tc>
        <w:tc>
          <w:tcPr>
            <w:tcW w:type="dxa" w:w="98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结核病防治督导与宣传</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&gt;=2次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2025年结核病防治工作计划</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冷链疫苗温度监测稳定运行（年）</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《疫苗管理法》</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全州范围内开展监督检查</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&gt;=7次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国务院办公厅关于推动疾病预防控制事业 高质量发展的指导意见 国办发〔2023〕46号</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全州以乡（镇）为单位适龄儿童免疫规划疫苗接种率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《2025年结核病防治工作计划》</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99.13%</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双随机监督抽查完成率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&gt;=85%</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2024年昌吉州公共卫生领域卫生健康标准化试点项目实施方案</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85%</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w:t>
            </w:r>
          </w:p>
        </w:tc>
      </w:tr>
    </w:tbl>
    <w:p>
      <w:r>
        <w:br w:type="page"/>
      </w:r>
    </w:p>
    <w:p>
      <w:pPr>
        <w:sectPr>
          <w:footerReference r:id="rId3" w:type="default"/>
          <w:pgSz w:w="11906" w:h="16838"/>
          <w:pgMar w:top="2098" w:right="1531" w:bottom="1985" w:left="1531" w:header="851" w:footer="992" w:gutter="0"/>
          <w:cols w:space="720" w:num="1"/>
          <w:docGrid w:type="lines" w:linePitch="312" w:charSpace="0"/>
        </w:sectPr>
      </w:pP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2025年中央医疗服务与保障能力提升补助资金</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昌吉回族自治州卫生健康委员会</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昌吉回族自治州疾病预防控制中心（昌吉回族自治州卫生监督所）</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16.60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60.37</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57.63</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95.46%</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16.60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60.37</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57.63</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通过能力提升项目，更新设备、优化实验方法以及加强人员培训，能显著提高实验数据的准确性和实验效率，进而提升我们在行业内的声誉和竞争力。先进的实验室能力是开展前沿科研工作的基础。提升能力后，实验室可以开展更高水平的研究项目，探索新的科研方向，为行业发展提供创新性的解决方案，推动整个行业的技术进步，同时也有助于吸引优秀科研人才加入，形成良好的科研创新生态。通过开展卫生应急能力培训，有效提升县市疾控中心卫生应急处置能力。</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57.63万元，资金执行率95.46%。本项目实际完成实验室试剂采购2批次，开展卫生应急培训1次，传染病实验室检测质量考核实验室4个，传染病实验室检测考核病原种类数14种，传染病实验室检测考核项目数22个，传染病实验室检测考核合格率100%。通过对5县2市州直医疗机构的卫生应急队员开展卫生应急能力培训与实验室考核，有效加强了疾控机构卫生应急规范，强化了卫生应急队伍建设，有效了提升县市疾控中心卫生应急处置能力。</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采购实验室试剂耗材</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&gt;=1批</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=4批次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初按照工作计划制定全年指标，实际实施过程中因受市场供应需求、原材料、招标采购等客观因素，产生偏差-300%，偏差原因：我单位在前期设定完成率指标时，为确保项目经费的科学合理使用，导致采购次数较多，故与实际完成值产生偏差；下一年度改进措施：总结本次项目实施采购的成功经验，在确保完成工作任务的同时，科学合理地调整经费使用方案。</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开展卫生应急能力业务培训</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传染病实验室检测质量考核实验室数量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&gt;=4个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=4个</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传染病实验室检测考核病原种类</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&gt;=14种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=14种</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传染病实验室检测考核实验项目数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&gt;=22个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=22个</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传染病实验室检测质量考核合格率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111.11%</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4.44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初按照国家要求制定全年指标，实际实施过程中完成较好，产生偏差为-11.1%，偏差原因：我单位在前期设定完成率指标时，为确保项目产出的安全性和底线思维，设定了≥90%的保守目标，故与实际完成值产生偏差；下一年度改进措施：总结本次项目的成功经验，在确保完成工作任务的同时，科学合理调整工作实施方案。</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卫生应急项目计划完成时间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专用材料费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&lt;=49.5万元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=49.5万元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印刷费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&lt;=0.85万元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=0.53万元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62.3%</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0.11</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初按照国家要求制定全年指标，实际实施过程中使用上一年度结转经费，导致2025年经费未使用，产生偏差为37.70%，偏差原因：我单位在前期设定完成率指标时，为确保项目经费的合理使用，导致2025年经费有结余，故与实际完成值产生偏差；下一年度改进措施：总结本次项目的成功经验，在确保完成工作任务的同时，科学合理调整经费使用方案。</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培训费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&lt;=4.25万元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=4.0484万元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初按照国家要求制定全年指标，实际实施过程中完成较好，产生偏差为4.74，偏差原因：该项目经费实施过程中受季节性和市场需求等客观因素影响，导致计划经费有剩余，故与实际完成值产生偏差；下一年度改进措施：总结本次项目的成功经验，在确保完成工作任务的同时，科学合理调整经费实施方案。</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差旅费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&lt;=5.77万元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=3.56万元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61.64%</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0.08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初按照国家要求制定全年指标，实际实施过程中受上级主管部门培训方案及市场需求等客观因素影响，产生偏差为38.36，导致计划经费有剩余，故与实际完成值产生偏差；下一年度改进措施：总结本次项目的成功经验，在确保完成工作任务的同时，科学合理调整经费实施方案。</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增强州、县基层传染病应急小分队卫生应急处置能力</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逐步增强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培训人员满意度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=95%</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105.56%</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初按照国家要求制定全年指标，实际实施过程中完成较好，产生偏差为-5.56%，偏差原因：我单位在前期设定完成率指标时，为确保项目产出的安全性和底线思维，设定了≥95%的保守目标，故与实际完成值产生偏差；下一年度改进措施：总结本次项目的成功经验，在确保完成工作任务的同时，科学合理调整工作实施方案。</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92.63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2025年中央医疗服务与保障能力提升（卫生健康人才培养）补助资金</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昌吉回族自治州卫生健康委员会</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昌吉回族自治州疾病预防控制中心（昌吉回族自治州卫生监督所）</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3.89</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4.32</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4.32</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3.89</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4.32</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4.32</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完成职业病培训2次，培养职业病骨干人才7人，防治人才培训保障率达100%，于2025年12月10日前完成该项目工作，提高职业病防治人员专业水平。</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4.32万元，资金执行率100%，本项目实际完成了职业病防治培训2场次，培养职业病骨干人才数7人，防治人才培训保障率达100%，培训人员满意度100%，通过本项目的实施，提高了昌吉州职业病防治人员专业水平。</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职业病培训（县市）</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&gt;=2次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职业病骨干人才培养数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&gt;=7人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防治人才培训保障率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职业病防治人才培养项目完成时间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2025年11月30日前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2025年6月21日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2024年12月10日前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差旅费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&lt;=2.82万元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=2.82万元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培训费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&lt;=1.5万元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提高职业病防治人员专业水平</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有效提高</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提高</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培训人员满意度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111.11%</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此指标已完成，存在偏差，偏差率为11.11%，偏差原因为该项指标目标值设定偏保守，而本年度满意度调查中参训学员满意度为100%；下年度改进措施：应合理设定该指标完成的目标值。</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2025年中央重大公共卫生服务补助资金</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昌吉回族自治州卫生健康委员会</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昌吉回族自治州疾病预防控制中心（昌吉回族自治州卫生监督所）</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532.10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532.10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511.50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96.13%</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532.10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532.10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511.50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慢性病防治科依据自治区疾控中心相关业务工作要求，开展辖区县市相关工作的业务培训及业务指导，提高辖区县市慢性病防控能力。完成流感网络实验室检测流感样病例样本量大于等于640份；包虫病人群主动筛查完成率大于等于85%；全州以乡（镇）为单位适龄儿童免疫规划疫苗接种率大于等于90%；公共场所健康危害监测和食品安全风险监测任务完成100%；艾滋病免费抗病毒治疗比例大于等于95%；肺结核病原学阳性患者耐药筛查率大于等于90%，通过该项目实施提升昌吉州疾病防控力度。</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511.5万元，资金执行率96.13%，本项目实际完成包虫病人群主动筛查完成率100%；肺结核病原学阳性患者耐药筛查率100%；慢性病防治科开展辖区县市相关工作的业务培训班1次；全州以乡（镇）为单位适龄儿童免疫规划疫苗接种率99.13%；公共场所健康危害监测和食品安全风险监测任务完成100%；艾滋病免费抗病毒治疗比例98.2%；流感网络实验室检测流感样病例681份；新冠变异株监测完成393份；致病菌（症候群监测）完成380份；健康人群肠道监测完成100份；通过本项目的实施，加强了我州传染病防控措施，提升了传染病监测预警能力，促进了公共卫生的高质量发展。</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开展慢病业务培训</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流感网络实验室检测流感样病例样本量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&gt;=640份</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=681份</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106.4%</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6.55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640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偏差原因：为确保工作任务的完成，加大了对监测样本的筛查量，故与实际完成值产生偏差；下一年度改进措施：总结本次项目的成功经验，在确保完成工作任务的同时，科学合理调整工作实施方案。</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新冠变异株监测</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&gt;=370份</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=393份</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106.2%</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3.75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288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偏差原因：为确保工作任务的完成，加大了对监测样本的筛查量，故与实际完成值产生偏差；下一年度改进措施：总结本次项目的成功经验，在确保完成工作任务的同时，科学合理调整工作实施方案。</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致病菌（症候群监测）</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&gt;=300份</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=380份</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126.7%</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2.93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偏差原因：为确保工作任务的完成，加大了对监测样本的筛查量，故与实际完成值产生偏差；下一年度改进措施：总结本次项目的成功经验，在确保完成工作任务的同时，科学合理调整工作实施方案。</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健康人群肠道监测</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&gt;=100份</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=100份</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包虫病人群主动筛查完成率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&gt;=85%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117.64%</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3.29</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偏差原因：我单位在前期设定完成率指标时，为确保项目产出的安全性和底线思维，设定了≥85%的保守目标，故与实际完成值产生偏差；下一年度改进措施：总结本次项目的成功经验，在确保完成工作任务的同时，科学合理调整工作实施方案。</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全州以乡（镇）为单位适龄儿童免疫规划疫苗接种率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=99.13%</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110.1%</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偏差原因：我单位在前期设定完成率指标时，为确保项目产出的安全性和底线思维，设定了≥90%的保守目标，故与实际完成值产生偏差；下一年度改进措施：总结本次项目的成功经验，在确保完成工作任务的同时，科学合理调整工作实施方案。</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公共场所健康危害监测和食品安全风险监测任务完成</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艾滋病免费抗病毒治疗比例</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=98.2%</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103.37%</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3.87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初按照国家要求制定全年指标，实际实施过程中完成较好，产生偏差为-3.37%，偏差原因：我单位在前期设定完成率指标时，为确保项目产出的安全性和底线思维，设定了≥95%的保守目标，故与实际完成值产生偏差；下一年度改进措施：总结本次项目的成功经验，在确保完成工作任务的同时，科学合理调整工作实施方案。</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肺结核病原学阳性患者耐药筛查率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111.11%</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3.56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初按照国家要求制定全年指标，实际实施过程中完成较好，产生偏差为-11.1%，偏差原因：我单位在前期设定完成率指标时，为确保项目产出的安全性和底线思维，设定了≥90%的保守目标，故与实际完成值产生偏差；下一年度改进措施：总结本次项目的成功经验，在确保完成工作任务的同时，科学合理调整工作实施方案。</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项目完成时间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2024年12月10日前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免疫规划项目</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&lt;=22万元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=19.74万元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偏差原因：因机构改革，工作任务整合，费用有结余造成偏差；改进措施：根据工作方案，科学合理制定项目工作绩效考核指标，提高指标设定科学性和合理性。</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结核病防治</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&lt;=57.50万元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=48.16万元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偏差原因：因机构改革，工作任务整合，费用有结余造成偏差；改进措施：根据工作方案，科学合理制定项目工作绩效考核指标，提高指标设定科学性和合理性</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艾滋病防治</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&lt;=12.10万元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=11.49万元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偏差原因：因机构改革，工作任务整合，费用有结余造成偏差；改进措施：根据工作方案，科学合理制定项目工作绩效考核指标，提高指标设定科学性和合理性</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重点传染病及健康因素监测项目</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&lt;=429.50万元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=421.72万元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偏差原因：因机构改革，工作任务整合，费用有结余造成偏差；改进措施：根据工作方案，科学合理制定项目工作绩效考核指标，提高指标设定科学性和合理性</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慢病防控</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&lt;=7.50万元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=6.89万元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偏差原因：因机构改革，工作任务整合，费用有结余造成偏差；改进措施：根据工作方案，科学合理制定项目工作绩效考核指标，提高指标设定科学性和合理性</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血吸虫与包虫病防治</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&lt;=3.50万元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=3.5万元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提升疾病防控力度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有效提升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慢病培训满意度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111.11%</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偏差原因：我单位在前期设定完成率指标时，为确保项目产出的安全性和底线思维，设定了≥90%的保守目标，故与实际完成值产生偏差；下一年度改进措施：总结本次项目的成功经验，在确保完成工作任务的同时，科学合理调整工作实施方案。</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96.55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2025年基本公共卫生服务补助资金</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昌吉回族自治州卫生健康委员会</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昌吉回族自治州疾病预防控制中心（昌吉回族自治州卫生监督所）</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44.70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49.70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47.19</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94.95%</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8.74</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44.70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49.70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47.19</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完成7个县市的鼠疫防控技术指导；完成地方病防治公交宣传2次，地方病防治完成率大于等于95%，项目完成时间2025年12月10日前；提升各县市应对鼠疫防控的能力。</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目前，资金使用47.19万，资金执行率达到94.95%。已顺利完成全州7个县市的鼠疫防控技术指导，保障各县市鼠疫监测工作的顺利开展，完成监测方案中的相关工作；完成地方病防治公交宣传2次，地方病防治完成率大于等于95%，项目完成时间2025年12月10日；通过本项目的设施，提升各县市在地方斌防治，职业病防治和应对鼠疫防控的能力</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开展鼠疫防控技术指导（县市）</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=7个</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地方病公交宣传</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&gt;=2次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地方病防治完成率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105.26%</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9.47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此指标已完成，但存在偏差，偏差率为5.26%，偏差原因为该项指标目标值设定偏保守，而本年度该项指标的完成率偏高，产生偏差；下年度改进措施：应合理设定该指标完成的目标值。</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项目完成时间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2025年12月9日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2024年12月10 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职业病防治项目</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&lt;=28.2万元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=25.42万元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指标已完成，但存在偏差，偏差率为9.86%，偏差原因为在项目实施过程中，有一次外出计划发生改变，导致差旅费用结余；下年度改进措施：应积极沟通，提前申请谋划，并合理预算差旅费，且按期开展工作计划。</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地方病防治项目</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&lt;=20.5万元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=16.03万元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指标已完成，但存在偏差，偏差率为8.40%，偏差原因为在项目实施过程中，有一次外出计划发生改变，导致差旅费用结余10302.67元，因支出计划有变，劳务费结余4420元；下年度改进措施：应积极沟通，提前申请谋划，并合理预算差旅费和劳务费，且按期开展工作计划。</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鼠疫防治项目</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=0.74万元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74%</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0.7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此指标已完成，但存在偏差，偏差率为26.00%，偏差原因为实施过程计划发生改变，有费用结余；下年度改进措施：应积极沟通，并合理开展工作计划。</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提升县市应对鼠疫防控能力</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有效提升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业务指导对象满意度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111.1%</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此指标已完成，但存在偏差，偏差率为11.10%，偏差原因为该项指标目标值设定偏保守，而本年度满意度调查中参训学员满意度为100%；下年度改进措施：应合理设定该指标完成的目标值。</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96.91</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2025年州直单位办公用房维修项目</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昌吉回族自治州卫生健康委员会</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昌吉回族自治州疾病预防控制中心（昌吉回族自治州卫生监督所）</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324.00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324.00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320.39</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98.89%</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9.72</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324.00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324.00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320.39</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实施昌吉州疾病预防控制中心（州卫生监督所）办公用房维修项目，是为了进一步巩固和提升安全生产工作成效，及时有效地消除外墙墙砖脱落、楼内地转破损引发的安全隐患，避免发生严重的安全事故，保障全体干部职工的生命财产安全。为了进一步改善全体干部职工办公环境，提高全体干部职工的归属感和工作积极性。为了节能减排，推进绿色基础设施建设和改造，提升效能水平，提高综合办公楼的保温隔热效果。及时维修维护有助于节约机构运行经费，节省频繁维修维护带来的成本，提升办公楼整体美观与整洁度，为职工营造舒适、温馨的办公环境。</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2026年6月30日，本项目支出资金320，39万元，预算执行率98.89%，本项目已全面完成本单位办公用房维修改造工作。通过实施外墙墙砖、室内破损地砖维修整治，彻底消除建筑脱落、破损带来的安全隐患，有效防范安全生产事故发生，保障干部职工人身及财产安全，巩固提升安全生产工作成效，提升办公楼整体整洁度与美观度，切实增强干部职工归属感和工作积极性。同时完成建筑保温隔热修缮改造，提升楼宇节能水平，推进绿色基础建设，减少反复零星维修支出，节约单位运行成本，有效提升办公用房使用效能。</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外墙保温及装饰（含原墙砖拆除）</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&gt;=7587.45平方米</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=7587.45平方米</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楼内地砖拆除维修</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&gt;=2612.38平方米</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=2612.36平方米</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项目验收合格率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项目完成时间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2025年9月30日</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2025年12月31日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本项目计划完成时间为2025年9月30日，实际完成时间为2025年12月31日，存在偏差，偏差原因分析：项目施工过程中因办公区域为常态化在岗办公场所，为最大限度保障工作正常开展，需采用分时段、区域错峰施工，导致工期延长。</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外墙保温及装饰（含原墙砖拆除）经费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&lt;=229.51万元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=229.51万元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楼内地砖拆除维修经费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&lt;=41.28万元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=41.28万元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其他维修内容经费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&lt;=53.21万元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=49.6万元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改善办公环境，提升员工幸福感</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有效提升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达成年度目标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增加职工满意度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111.11%</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偏差原因为年初该指标目标值设定较为保守，项目完成后职工满意度为100%，故产生偏差。下一年改进措施：设定指标时应综合考虑各种因素，合理设置目标值 。</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89.72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2025年自治区地方公共卫生服务补助资金</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昌吉回族自治州卫生健康委员会</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昌吉回族自治州疾病预防控制中心（昌吉回族自治州卫生监督所）</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对县市监督员开展不少于2次执法能力的现场带教；开展1次鼠疫防控能力培训；双随机监督抽查完成率大于等于85%；在2025年12月10日前完成双随机监督抽查工作；有效提升监督执法队伍能力建设。</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7万元，资金执行率100%，本项目实际完成现场代教2次，开展鼠疫防控能力培训1次，通过本项目的实施，有效提升了监管人员的执法素养和实操能力，推动监管工作从粗放式向精准化、规范化、智能化转变，大幅提高了监管执法效能和工作质量。促进了公平竞争营商环境的持续优化，通过规范公正的双随机监管，减少了人为干预，降低了市场主体制度性交易成本，充分激发了市场主体活力和发展动力，推动形成了权责明确、公平公正、公开透明、简约高效的监管新格局，为区域经济社会高质量发展提供了有力保障。</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现场带教</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&gt;=2次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开展鼠疫防控能力培训</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双随机监督抽查完成率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&gt;=85%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=85%</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双随机监督抽查工作完成时间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2025年11月18日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2024年12月10日前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国家随机监督抽检项目</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&lt;=6万元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鼠疫培训</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提升执法队伍能力建设</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有效提升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监督服务对象满意度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2025年自治区基本公共卫生服务补助资金</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昌吉回族自治州卫生健康委员会</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昌吉回族自治州疾病预防控制中心（昌吉回族自治州卫生监督所）</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0.80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0.80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0.80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0.80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0.80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0.80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对县市监督员开展不少于1次的现场带教；组织填写不少于3份的专项评价问卷；制作宣传品30份，宣传品验收合格率等于100%；在2025年12月10日前完成跟踪评价调查工作；通过开展食品安全评价工作，不断推动食品安全标准的有效实施。</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0.8万元，资金执行率100%，本项目实际完成0.8万元。通过本项目的实施，现场带教1次，专项评价问卷3份，宣传品30份，加强了辖区内食品安全标准的落地执行力度，强化了对标准实施过程中重点环节、重点领域的动态监管，填补了标准执行过程中的监管盲区，确保食品安全标准各项要求落到实处、执行到位；提升了相关监管人员对食品安全标准的理解、把握和应用能力，提高了标准解读、指导和监督的专业化水平，同时提升了食品生产经营单位对食品安全标准的知晓度和执行自觉性，规范了生产经营行为；促进了食品安全标准与实际监管工作的深度融合，推动了食品安全监管体系的进一步完善，助力构建科学、规范、高效的食品安全防控格局，切实保障人民群众饮食安全和身体健康，推动辖区食品安全治理能力和治理水平整体提升。</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现场带教</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专项评价问卷</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&gt;=3份</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=3份</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宣传品</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&gt;=30份</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=34份</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113.33%</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此项指标已完成，存在偏差，偏差率为13.33%，偏差原因为：年初设置指标时过于谨慎，宣传品由于压低了采购单价，导致份数增加；下一年度改进措施：再设置满意度时注意审查，合理设置指标。</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宣传品验收合格率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跟踪评价调查工作完成时间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2025年10月9日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2024年12月10日前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差旅费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&lt;=0.5万元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=0.5万元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0.7万元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宣传品费用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&lt;=0.3万元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=0.3万元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推动食品安全标准的有效实施</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不断推动</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推动</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企业满意度（%）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111.11%</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此项指标已完成，存在偏差，偏差率为11.11%，偏差原因为：年初设置指标时过于谨慎；下一年度改进措施：再设置满意度时注意审查，合理设置指标。</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98.40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传染病防控项目</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昌吉州卫生健康委员会</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昌吉回族自治州疾病预防控制中心（昌吉回族自治州卫生监督所）</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35.67</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35.67</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35.67</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35.67</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35.67</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35.67</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州二级以上医疗机构院内感染监测率大于等于100%；开展消毒灭菌效果与环境卫生学监测工作及时率大于等于100%；冷链疫苗温度监测每日稳定运行，确保疫苗质量；降低肺结核发病率低于2024年水平。通过该项目的实施提升居民疾病防控意识，提高艾滋病感染者和病人的满意度。</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已支出35.67万元，预算执行率为100%。本项目冷链疫苗温度监测12个月正常运行，艾滋病宣传已完成2次，消毒灭菌效果与环境卫生学监测工作已完成全部31家的监督抽检；完成采购PPD试剂一批次606支，验收合格率100%。通过该项目的实施提升居民疾病防控意识，提高艾滋病感染者和病人的满意度。</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艾滋病公交宣传</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&gt;=2次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举办卫生应急培训班（次）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冷链疫苗温度监测稳定运行（年）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采购PPD试剂</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&gt;=606支</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=606支</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全州二级以上医疗机构院内感染监测率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PPD试剂验收合格率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项目完成时间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2024年12月10日前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艾滋病防治项目经费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&lt;=2万元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结核病防治项目经费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&lt;=8万元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冷链运转项目经费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&lt;=7万元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消毒灭菌效果与环境卫生学检测及监督执法项目经费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&lt;=14.67万元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=14.67万元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突发公共卫生事件应急业务经费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&lt;=4万元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提升居民疾病防控意识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有效提升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有效提升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艾滋病感染者和病人的满意度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=97.6%</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102.74%</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未完成，存在偏差，偏差率为-2.74%，偏差原因为：一是年初目标设置过低，二是2025年在推进艾滋病防治高质量发展过程中，我州对艾滋病感染者及病人采取了精准分类管理，推广了一站式诊疗服务，这些举措，极大的促进了我辖区患者对医护人员专业水平、服务和就医环境的整体满意度。下一年度改进措施：对目标设置进行科学分析研究，结合实际进行制定，确保目标制定的准确度。</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关于下达2025年中央2025年中央重大公共卫生服务补助资金预算的通知</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昌吉回族自治州卫生健康委员会</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昌吉回族自治州疾病预防控制中心（昌吉回族自治州卫生监督所）</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卫生应急与鼠疫预防控制科借助2025年中央重大公共卫生服务补助资金项目经费5万元。一是完善州、县传染病应急小分队建设，州县全覆盖，参加培训演练中州级不低于10人、县级不低于4人/县，通过对州、县传染病应急小分队队员和后备队员不低于60人开展卫生应急综合培训演练；二是确保2025年全州染病应急小分队培训覆盖率100%，全州传染病应急小分队应对传染病疫情和突发公共卫生事件能力逐步提升。总体达到培养一批卫生应急队员骨干，打造一支素质高、能力强的染病应急小分队的目标，进一步提升昌吉州卫生应急能力。</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11月30日，本项目支出资金5万元，资金执行率100%，本项目协助各县市完成传染病应急小分队建设工作，开展卫生应急综合培训演练活动1次，全州7个县市应急小分队均8支参加，参加人数54人，培训覆盖率100%。通过本项目的实施，全州传染病应急小分队应对传染病疫情和突发公共卫生事件能力逐步提升，打造一支素质高、能力强的染病应急小分队的目标，进一步提升昌吉州卫生应急能力。</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开展传染病应急小分队综合培训演练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州、县传染病应急小分队队员及后备队员参加人数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&gt;=60人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=54人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未完成，偏差率10%。偏差原因：我单位设定该目标时，聚焦传染病应急队伍建设，重点保障奖励资金精准投放、应急队员培训及参与相关工作有序落地，满足应急队伍建设基础需求，因部分应急小分队队员及后备队员需承担突发传染病防控、日常监测等紧急工作任务，无法按时参与，导致实际参加人数低于预期目标。下一年度改进措施：总结本次工作经验，结合应急队伍工作实际，科学测算参加人数目标，合理统筹工作安排，优化培训及参与流程，灵活调整参与时间，避免与应急防控工作冲突，充分发挥扶持奖励资金作用，提升应急队员参与积极性，切实加强州、县传染病应急小分队建设，提升传染病防控应急处置能力。</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州、县基层传染病应急小分队数量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&gt;=8支</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=8支</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州、县传染病应急队伍培训覆盖率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项目计划完成时间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2025年11月30日前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2025年7月25日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组织开展传染病应急小分队综合培训演练费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&lt;=5万元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预算支出标准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州、县传染病应急小分队应对传染病防控能力</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逐步增强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97.50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县（区）级疾病控制菌（毒）种生物样本库建设规范项目</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昌吉回族自治州卫生健康委员会</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昌吉回族自治州疾病预防控制中心（昌吉回族自治州卫生监督所）</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1.90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1.90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1.90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1.90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1.90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1.90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通过疾控实验室菌（毒）种/生物样本库的建设，确保菌（毒）种在保存过程中不易受到杂菌的污染、基因突变甚至死亡并保持菌（毒）种优良性状不退化。通过采取适合菌（毒）种特点的方法妥善保存，保持菌（毒）种的纯度、活性、基因信息的完整性，避免菌（毒）种变异和退化，长时间保持较高的存活率及遗传稳定性，以便用于科学研究及实验。
为确保我国菌（毒）种生物库的质量、安全及标准化运作，我国已发布了一系列的国家标准，该项目根据《省、地、县级疾病预防控制中心实验室建设指导意见》，要求县（区）级实验室具备开展多种病原微生物的检测能力，但目前昌吉州内、乃至疆内县（区）级疾控中心实验室应保存哪几类菌（毒）种，如何保存以及管理没有统一规范的标准，同时在确保实验室生物安全和国家生物安全的前提下，该项目能促进资源转化应用，为实验室生物检测技术发展提供强有力的保障，成为县（区）级疾病预防机构高质量发展的重要支撑平台。</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1.9万元，资金执行率100%，本项目完成了技术审查会的召开，标准草案的撰写1本；依托本项目建设成果，提升昌吉州级辖区内县（区）级疾控中心实验室对多种病原微生物的检测能力，为实验室生物检测技术发展提供支撑；建立了适配菌（毒）种特点的保藏、管理与质量控制体系，实现菌（毒）种保藏的标准化、安全化与规范化运行；在保障实验室生物安全和国家生物安全的前提下，推动菌（毒）种资源的共享与转化运用，助力科研与疾控工作开展。</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制定《县（区）级疾病预防控制菌（毒）种生物样本库建设规范》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=1本</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=1本</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规范编制审核通过率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111%</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8.9</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偏差原因：我单位在前期设定审核通过率指标时，为确保项目产出的安全性和底线思维，设定了≥90%的保守目标值，故与实际值产生偏差；下一年度改进措施：总结本次项目的成功经验，在编制下一年度绩效目标时，结合实际执行能力，将审核通过率目标适当上调。</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规范编制完成时限</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2025年7月2日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专家费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&lt;=1.44万元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=1.44万元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劳务费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&lt;=0.16万元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=0.16万元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其他费用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&lt;=0.3万元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=0.3万元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保障实验室生物检测技术发展</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有效保障</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委托单位满意度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111.11%</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偏差原因：我单位在前期设定满意度指标时，为确保项目产出的安全性和底线思维，设定了≥90%的保守目标值，故与实际值产生偏差；下一年度改进措施：总结本次项目的成功经验，在编制下一年度绩效目标时，结合实际执行能力，将满意度目标适当上调。</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98.90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应急库管理平台项目资金</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昌吉回族自治州卫生健康委员会</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昌吉回族自治州疾病预防控制中心（昌吉回族自治州卫生监督所）</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2.50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1.66</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1.66</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2.50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1.66</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1.66</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根据自治区疾控中心“应急物资储备协同调度管理平台”建设项目实施计划，拟投入2.5万元，计划在昌吉州疾控中心建设“应急物资储备协同调度管理平台”，按期开展平台的使用和维护，以提升储备中心物资管理能力；采购1批应急库设备，提升卫生应急物资储备中心物资储备。</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1.66万元，资金执行率100%，通过本项目的实施，加强了卫生应急储备库物资储备种类，提升了卫生应急能力，促进了中心卫生应急工作的开展。目前已完成采购应急库设备物资1批，采购物资种类3种，政府采购率达到100%。</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应急库设备采购</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采购物资种类</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11</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&gt;=3种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=3种</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11</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政务采购率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应急装备购置合格率（%）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项目完成时间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2025年12月3日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应急库设备购置费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&lt;=1.66万元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=1.66万元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提高卫生应急人员管理水平</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有效提升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庭州英才（昌吉州传染病监测与预警项目）</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昌吉回族自治州卫生健康委员会</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昌吉回族自治州疾病预防控制中心（昌吉回族自治州卫生监督所）</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通过收集2024年昌吉州地区临床就诊感染病例症候群的病原体监测数据，对病原体进行基因组监测，可及时发现变异株，能够在病原体开始传播的初期即发现疫情，撰写项目总结报告，为防疫策略调整提供重要信息，有效遏制疫情扩散。</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3万元，资金执行率100%，本项目实际完成撰写2024年度项目分析总结报告1份；通过本项目的实施，对病原体进行基因组监测，可及时发现变异株，能够在病原体开始传播的初期即发现疫情，撰写项目总结报告，为防疫策略调整提供重要信息，有效遏制疫情扩散。项目紧密对接中国疾病预防控制中心传染病预防控制所的技术资源，借助国家致病菌识别网的平台优势，同时结合昌吉州传染病流行特点，构建“国家级技术+本地化落地”的工作模式，既保障了项目的专业性与科学性，又确保工作贴合区域实际。</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撰写2024年项目分析总结报告</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=1份</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=1份</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完成项目分析报告的完成率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完成项目分析报告的时限</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2025年10月30日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专家咨询费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&lt;=0.24万元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=0.24万元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劳务费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&lt;=0.16万元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=0.16万元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材料费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&lt;=0.2万元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=0.2万元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出版费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&lt;=0.4万元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=0.4万元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个人生活补助</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&lt;=2万元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实现早期预警、病毒变异监控</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有效实现</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受益人才满意度（%）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昌吉州公共卫生领域卫生健康标准化试点项目（放射卫生）</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昌吉回族自治州卫生健康委员会</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昌吉回族自治州疾病预防控制中心（昌吉回族自治州卫生监督所）</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2.97</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99.00%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2.97</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对辖区内医疗卫生机构放射卫生工作开展现状进行调查，对辖区内疾控中心、医疗卫生机构从事放射卫生工作人员开展标准宣贯和培训1次，完成标准化试点项目工作，推动我州公共卫生领域卫生健康标准的普及与推广，促进卫生健康工作提质增效。</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10月28日，本项目支出资金2.97万元，资金执行率为99%。本项目完成辖区内医疗卫生机构放射卫生工作现状调查工作，了解放射工作人员培训情况，健康体检情况，了解放射诊疗设备使用情况、检测情况。完成辖区内疾控中心、医疗卫生机构从事放射卫生工作人员的1次标准宣贯和培训工作，10家医疗卫生机构放射卫生工作及县市疾控检测能力情况调查，通过本项目的实施，提高工作人员对标准的知晓率和熟悉度。完成标准化试点项目工作，推动我州公共卫生领域卫生健康标准的普及与推广，促进卫生健康工作提质增效。</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公共卫生领域卫生健康标准化宣贯、培训</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医疗卫生机构放射卫生工作及县市疾控检测能力情况调查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&gt;=10家</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=10家</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宣贯工作保障率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结题报告完成时限</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2025年10月28日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差旅费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&lt;=1.34万元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=1.34万元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其他交通费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&lt;=0.49万元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=0.49万元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其他费用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&lt;=1.17万元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=1.1449万元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推动公共卫生领域卫生健康标准的普及与推广，促进卫生健康工作提质增效</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有效推动</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单位满意度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=94.41%</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104.9%</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此项指标已完成，存在偏差，偏差率为4.90%，偏差原因为： 我单位在设定本年度满意度目标时，秉持审慎性原则，充分考虑各类潜在风险因素，设定了≥90%的保守目标值，未充分预估实际服务过程中的优化空间，导致实际完成值与目标值出现偏差；下一年度改进措施：梳理本次服务中的有效做法，结合项目实际执行成效、服务对象反馈及行业标准，科学测算下一年度满意度目标值，适当提高目标阈值，以目标引领服务质量迭代升级，同时建立目标动态调整机制，确保目标设定的合理性与前瞻性。</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昌州财社【2025】54号关于下达2025年中央重大公共卫生服务补助资金预算-地方病防治</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昌吉回族自治州卫生健康委员会</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昌吉回族自治州疾病预防控制中心（昌吉回族自治州卫生监督所）</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计划投入资金4万元，用于包虫病与布鲁氏菌病防治项目。通过资金支持，计划实现人群包虫病B超筛查人数达到49500人，犬驱虫（包括野外驱虫）完成率达到85%，并确保包虫病防治项目于2025年10月31日前完成。同时，将有效提升布病高危人群筛查阳性率，加强疾病早期发现与管理，并通过开展专业培训，使包虫病培训满意度达到90%。</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4万元，资金执行率100%。本项目实际完成包虫病B超筛查49500人，犬驱虫（含野外驱虫）覆盖率达到90.21%，按期于2025年10月31日完成包虫病监测项目，开展了两次地方病防治主题宣传，完成布病高危人群筛查并有效提升了阳性发现率。通过本项目的实施，加强了布鲁氏菌病和包虫病等重点地方病的监测与防治能力，提升基层防控能力和居民健康意识，促进了本地区重点地方病防控目标的实现。</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人群包虫病B超筛查数（人）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&gt;=49500人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=49500人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49700人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犬驱虫（包括野外驱虫）完成率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&gt;=85%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=90.21%</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106.13%</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11.26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93.61%</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超额完成，存在正向偏差，偏差率为-6.13%。偏差原因：各县市包虫病防治工作高度重视，执行过程中建立了季度督导检查机制，强化了部门联动与责任落实，推动犬驱虫覆盖范围与频次超出计划值，实际完成率显著高于目标值。下一步改进措施：在下一年度目标设定时，可结合实际执行情况，适当上调犬驱虫完成率等指标目标值，以持续巩固和提升防控效果。</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包虫病监测项目完成时间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2025年10月31日前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=2025年10月31日前</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2024年10月31日前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布病监测项目（万元）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&lt;=2万元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血吸虫与包虫病防治（万元）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&lt;=2万元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提升布病高危人群筛查发现阳性率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有效提升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包虫病培训满意度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=90.57%</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100.6%</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99.26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昌州财社【2025】54号关于下达2025年中央重大公共卫生服务补助资金预算-执法能力提升</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昌吉州卫生健康委员会</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昌吉回族自治州疾病预防控制中心（昌吉回族自治州卫生监督所）</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9.98</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99.80%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9.98</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本项目拟投入10万元，主要用于组织监督员骨干外出开展培训5次，开展检验检测1次，购置监督员制度、执法装备16套等，通过项目的实施，着力提升监督员能力水平和专业素养，实现监督执法能力有效提升。</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99780元，资金执行率99.8%，本项目实际完成组织监督员骨干外出开展培训5人次，开展检验检测1次，购置监督员制服16套，为监督员配备文书专用章11套，购置卫监专用便携式打印纸400卷，印制《新疆维吾尔自治区卫生健康自由裁量基准》37本。通过项目的实施，提升了监督员的能力水平和专业素养，实现监督执法能力有效提升，监督执法的规范化、信息化、标准化水平不断提高。</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组织监督员骨干开展外出培训人次（人次）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&gt;=5人次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=5人次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行业标准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开展检验检测次数（次）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制服购置数量（套）</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&gt;=16套</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=16套</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制服购置验收合格率（%）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项目完成时间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印刷费（万元）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&lt;=0.4万元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=0.4万元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交通费（万元）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&lt;=1.30万元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=1.278万元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98.3%</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4.79</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未完成，存在偏差，偏差率为1.7%，偏差原因为：项目人员严格控制车辆租赁的次数和金额，导致实际支出较年初预算有一定的结余，结余资金220元；下一年改进措施：提高预算编制准确性，确保后续各类项目严格按照预算进行支出。</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差旅费（万元）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&lt;=2.70万元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=2.7万元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专用材料费（万元）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&lt;=5.60万元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=5.6万元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监督执法能力有效提升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有效提升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培训人员满意度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105%</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行业标准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未完成，存在偏差，偏差率为-5%，偏差原因为：项目实施人员在监督检查过程中，严格落实公正执法，严格落实“三项制度”，被监督单位满意度调查结果为100%，超出了当初设定的保守目标值≥95%，故与实际完成值产生偏差，下一年改进措施：总结本项目成功经验，在编制下一年绩效目标时，结合实际执行能力，适当调整满意度目标。</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99.79</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昌州财社【2025】54号关于下达2025年中央重大公共卫生服务补助资金预算-艾滋病防治</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性病艾滋病预防控制科</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昌吉回族自治州疾病预防控制中心（昌吉回族自治州卫生监督所）</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2025年计划投入资金5万元，开展青年学生主题教育或同伴教育不少于2次，降低重点人群新发感染，开展现场技术指导不少于1次，提升随访服务质量，确保艾滋病感染者和病人的满意度不低于95% ，提升治疗依从性，实现艾滋病病人（感染者）免费抗病毒治疗比例不低于95%，有效遏制疫情进一步传播，保持艾滋病疫情持续处于低流行水平。</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5万元，资金执行率100%，本项目实际完成开展青年学生主题教育或同伴教育2次，开展现场技术指导1次，艾滋病病人/感染者免费抗病毒治疗比例98.2%，艾滋病感染者和病人的满意度97.6%。通过项目实施，提升治疗依从性，实现艾滋病病人（感染者）免费抗病毒治疗比例不低于95%，有效遏制疫情进一步传播，保持艾滋病疫情持续处于低流行水平。</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开展青年学生主题教育或同伴教育（次）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&gt;=2次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开展现场技术指导（次）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艾滋病病人/感染者免费抗病毒治疗比例（%）</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=98.2%</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103.37%</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4.83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97.5%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超额完成，存在正向偏差，偏差率为-3.37%。偏差原因：各县市艾滋病抗病毒治疗工作高度重视，推动艾滋病抗病毒治疗比例超出计划值，实际完成率显著目标值。下一步改进措施：在下一年度目标设定时，可结合实际执行情况，适当提高艾滋病病人、感染者免费抗病毒治疗比例指标目标值，以持续巩固和提升防控效果。</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项目完成时间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2024年12月10日前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宣传费（万元）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＜=2.82万元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=2.82%</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其他交通费（万元）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＜=0.18万元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=0.18%</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专用材料（万元）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&lt;=2万元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艾滋病疫情处于低流行水平</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保持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达到预期指标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艾滋病感染者和病人的满意度（%）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=97.6%</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102.74%</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97.3%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超额完成，存在正向偏差，偏差率为-2.74%。偏差原因：对医护人员专业水平、服务和就医环境整体提高，推动艾滋病感染者和病人满意度超出计划值，实际完成率高于目标值。下一步改进措施：在下一年度目标设定时，可结合实际执行情况，适当提高艾滋病感染者和病人满意度的指标目标值，以持续巩固和提升防控效果。</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99.83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昌州财社（2025）54号关于下达2025年中央重大公共卫生服务补助资金预算-病媒生物</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昌吉州卫生健康委员会</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昌吉回族自治州疾病预防控制中心（昌吉回族自治州卫生监督所）</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36.00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36.00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36.00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36.00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36.00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36.00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该项目共投入36万元，开展食源性疾病流行病学调查，食品中污染物和有害因素监测，饮用水监测和污水监测工作，旨在提高食品安全风险监测能力和城乡饮用水水质监测能力。</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2026年6月30日，本项目已支出36万元，预算执行率100％。食品安全保障项目于2025年12月10日前完成，开展流行病学调查4次，食品中污染物和有害因素监测样本完成率100％，并形成总结报告报上级主管部门，有效提升全州食品安全风险监测能力；全年开展污水监测，污水监测完成率100％，为全州新冠流行趋势提供数据支撑；完成7分生活饮用水监测，有效掌握水质状况，保障群众饮水安全。</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开展食源性疾病流行病学调查事件数（起）</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&gt;=2起</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=4起</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2起</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偏差原因分析：主要原因是辖区餐饮经营、集体聚餐场景增多，夏季高温食材易变质，群众食物中毒投诉及发病案例增加。同时群众食品安全防范意识不足，违规加工食用生冷、过期食材，导致食源性疾病事件多发。 改进措施 强化食品安全常态化宣传，提升群众与商户安全意识。加大商超、餐饮店、学校食堂等重点场所巡查力度，提前排查风险隐患。优化监测预警机制，快速处置苗头性事件，降低食源性疾病发生率。</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饮用水监测完成数（份）</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&gt;=7份</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=7份</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7份</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污水监测完成率（%）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食品中污染物和有害因素监测样品采样完成率（%）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食品安全保障项目完成时间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2024年12月10日</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食品安全保障（万元）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=21万元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=21万元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21万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饮用水水质卫生监测（万元）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城市污水新冠病毒监测（万元）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提升食品安全风险监能力</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达成年度目标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95.00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昌州财行[2025]30号关于下达2025年“庭州英才”人才工作经费的通知</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昌吉回族自治州卫生健康委员会</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昌吉回族自治州疾病预防控制中心（昌吉回族自治州卫生监督所）</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2.81</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93.67%</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8.42</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2.81</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根据2025年“庭州人才”育才计划庭州名医专项行动计划，拟投入3万元，计划在全州7县市范围内，组织开展不少于7场次健康教育宣传活动，通过现场宣传和发放宣传品等方式，进行健康教育宣传；计划邀请2名健康教育领域专家进行健康讲座。以达到提高居民健康素养水平的目标。</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2.81万元，资金执行率93.67%，本项目实际完成7县市体重管理健康巡讲7次，邀请自治区中医医院内分泌科主任马丽和自治区人民医院营养科主任范旻在昌吉市开展讲座2次，发放此项目经费购买的健康宣传品牙具280套。通过本项目的实施，加强了居民对健康饮食与体重管理、慢性病预防关联的认知，纠正了日常饮食中的常见误区，让居民明确健康膳食在控制体重、降低慢性病发病风险中的核心效能。通过专家专业解读和州级宣讲普及，提升了居民健康自我管理的意识和实操能力，使居民逐步掌握科学膳食搭配、合理控制体重的方法，树立“做自己健康第一责任人”的理念。同时，健康宣传品的发放进一步巩固了科普成效，促进了健康生活方式的养成，推动形成“人人关注健康、人人践行健康”的良好社会氛围，为筑牢全州慢性病防控防线、提升全民健康素养水平奠定了坚实基础。</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开展健康宣教次数（次）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&gt;=7次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购买宣传品数量（份）</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&gt;=280份</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=280份</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专家讲课次数（次）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&gt;=2次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宣传品验收合格率（%）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正式材料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教育宣传活动计划完成时间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11月15日前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11月5日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专家讲课费（万元）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&lt;=0.24万元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=0.24万元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差旅费（万元）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&lt;=0.40万元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=0.2035万元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50.88%</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存在偏差，偏差率为49.12%，偏差原因为：项目实施过程中，为减轻基层负担，提升工作效率，压缩了出行天数，减少了住宿时间，因此差旅费存在结余。下一年改进措施：重点细化差旅资金预算，结合区域分布优化行程规划，合理预估交通、住宿等费用，提升预算精准度，确保资金预算与工作实际高度匹配。</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宣传品制作费用（万元）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&lt;=0.36万元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=0.36万元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个人生活补助（万元）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&lt;=2万元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居民健康素养水平提升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有效提升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参加健康宣教活动居民满意度（%）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=95%</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94.42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机构运行补助经费</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昌吉回族自治州卫生健康委员会</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昌吉回族自治州疾病预防控制中心（昌吉回族自治州卫生监督所）</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89.50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104.06</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102.75</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98.74%</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9.68</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85.00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87.56</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87.34</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4.50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16.50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15.41</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本项目计划开展监督检查不低于17次；开展卫生应急技术指导不低于2次；开展二级以上医疗机构监测数不低于20家；监督检查工作保障率达到100%；项目完成时间为2025年12月10日。通过本项目的实施提升公共卫生事件处置能力</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102.75万元，资金执行率98.74%，本年度实际完成：（一）为4名援疆专家开展指导工作提供保障，确保了援疆专家在我中心正常开展指导工作；（二）保障1名干部正常开展自治区巡视保障工作，为自治区巡视工作组在我州顺利完成工作；（三）全年度开展工会慰问活动两次，保证了工会活动的正常开展；按照法律法规及时准确缴纳税费、残疾人保障金等经费；（四）全年共开展卫生应急技术指导2次，保障全州疾控机构卫生应急工作顺利开展；（五）全年支付保安保洁驾驶员服务经费69.86万元，保障了单位正常运行；（六）全年完成31家各级各类医疗机构消毒灭菌效果与环境卫生学监测工作，差旅费1.67万元，租车费1.85万元，保障了医疗卫生机构消毒灭菌效果与环境卫生学检测工作顺利开展；（七）开展监督检查17次，支付差旅费9.02万元，租车费1.096万元，保障了监督执法工作顺利开展。</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开展监督检查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&gt;=17次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=17次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17次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开展卫生应急技术指导次数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&gt;=2次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二级以上医疗机构监测数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&gt;=20家</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=31家</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155%</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20家</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存在偏差，偏差率55%，偏差原因为：指标设置时依据上年完成情况，设置目标数较低。下年度改进措施：此项工作2026年暂不开展，在其他项目上将加强对目标的分析，提高目标制定的准确度。。</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开展工会慰问活动（次）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&gt;=2次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其他标准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智力援疆柔性人才引进人数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&gt;=4人次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=4人次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监督检查工作保障率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项目完成时间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2024年12月10日前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卫生健康综合监督执法经费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&lt;=9.02万元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=9.02万元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保安保洁驾驶员服务经费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&lt;=69.86万元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=69.86万元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卫生应急业务技术帮扶指导经费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&lt;=1.50万元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=1.2829万元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存在偏差，偏差率未14.47%，偏差原因为：年初按照国家要求制定全年指标，实际实施过程计划发生改变，有费用结余，产生偏差。下年度改进措施：提高预算的精准性，确保后续各类项目严格按照预算进行支出。</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交通费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&lt;=1.10万元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=1.096万元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指标未完成，存在偏差，偏差率未0.91%，偏差原因为：项目人员严格控制租车、数量租车费用，导致实际支出较年初预算有一定的结余，结余资金19.2元；下一步改进措施：提高预算的精准性，确保后续各类项目严格按照预算进行支出。</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医疗卫生机构消毒灭菌效果与环境卫生学检测项目</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&lt;=1.67万元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=1.67万元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车辆租赁服务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&lt;=1.85万元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=1.85万元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工会经费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&lt;=3万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税金及附加</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&lt;=0.50万元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=0.2万元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存在偏差，偏差率未60%，偏差原因为：指标设置时依据上年完成情况，在执行过程中，因采购计划减少、建设工程完成等因素，使得税款较计划存在降低。（二）部分合同按照税务相关规定进行减免，导致该项支出远低于年初计划。下年度改进措施：及加强对税率的研究、分析、学习，提高对税费预算的准确性。</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残疾人保障金</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=0.225242万元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22.5242%</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存在偏差，偏差率为77.48%，偏差原因为：指标设置时依据上年完成情况，在执行过程中，因机构合并，我单位新增残疾职工，依据相关法律法规，残保金核算时对本单位给与一定减免。下年度改进措施：依据行业发展，综合统筹全年单位职工情况，合理计划指标支出，提高预算准确性</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人员（开展巡察保障工作）经费保障</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&lt;=2.56万元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=2.56万元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人员（智力援疆柔性人才）经费保障</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&lt;=11.52万元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=11.52万元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科研补助（出版）</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&lt;=0.48万元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=0.48万元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提升公共卫生事件处理能力</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有效提升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服务对象对执法工作的满意度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105.26%</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此项指标已完成，存在偏差，偏差率为5.26%，偏差原因为： 项目实施期间，我单位强化服务意识、优化服务举措，组建专业服务团队，精准对接服务对象需求，主动解决服务过程中的难点、堵点问题，实际服务成效远超原定保守目标，获得服务对象广泛认可；下一年度改进措施：一是总结提炼优秀服务经验，将本次项目中成效显著的服务模式、沟通技巧、响应机制等进行系统梳理，编制《优质服务实操指南》，在单位内部及同类项目中全面推广，实现服务质量标准化提升。二是健全服务评价与反馈机制，拓宽反馈渠道，定期收集服务对象意见建议，建立反馈闭环管理，及时优化服务举措，同时加强服务人员专业培训，提升服务能力与水平，保障服务质量持续稳定。</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93.28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p>
      <w:pPr>
        <w:sectPr>
          <w:type w:val="continuous"/>
          <w:pgSz w:w="11906" w:h="16838"/>
          <w:pgMar w:top="1440" w:right="1800" w:bottom="1440" w:left="1800" w:header="851" w:footer="992" w:gutter="0"/>
          <w:cols w:space="720" w:num="1"/>
          <w:docGrid w:type="lines" w:linePitch="312" w:charSpace="0"/>
        </w:sectPr>
      </w:pPr>
    </w:p>
    <w:p>
      <w:pPr>
        <w:spacing w:line="640" w:lineRule="exact"/>
        <w:ind w:firstLine="640"/>
        <w:jc w:val="both"/>
        <w:outlineLvl w:val="2"/>
      </w:pPr>
      <w:r>
        <w:rPr>
          <w:rFonts w:ascii="黑体" w:hAnsi="黑体" w:eastAsia="黑体"/>
          <w:sz w:val="32"/>
        </w:rPr>
        <w:t>十二、其他需说明的事项</w:t>
      </w:r>
    </w:p>
    <w:p>
      <w:pPr>
        <w:spacing w:line="580" w:lineRule="exact"/>
        <w:ind w:firstLine="640"/>
        <w:jc w:val="both"/>
      </w:pPr>
      <w:r>
        <w:rPr>
          <w:rFonts w:ascii="仿宋_GB2312" w:hAnsi="仿宋_GB2312" w:eastAsia="仿宋_GB2312"/>
          <w:b w:val="0"/>
          <w:sz w:val="32"/>
        </w:rPr>
        <w:t>本年本单位其他项目1个，全年预算数8.21万元，全年执行数8.21万元。</w:t>
      </w:r>
    </w:p>
    <w:p>
      <w:r>
        <w:br w:type="page"/>
      </w:r>
    </w:p>
    <w:p>
      <w:pPr>
        <w:spacing w:lineRule="exact" w:line="600"/>
        <w:jc w:val="center"/>
        <w:outlineLvl w:val="0"/>
      </w:pPr>
      <w:r>
        <w:rPr>
          <w:rFonts w:ascii="黑体" w:hAnsi="黑体" w:eastAsia="黑体"/>
          <w:sz w:val="32"/>
        </w:rPr>
        <w:t>第三部分 专业名词解释</w:t>
      </w:r>
    </w:p>
    <w:p>
      <w:pPr>
        <w:spacing w:lineRule="exact" w:line="600"/>
        <w:ind w:firstLine="643" w:firstLineChars="200"/>
        <w:autoSpaceDE w:val="0"/>
        <w:autoSpaceDN w:val="0"/>
      </w:pPr>
      <w:r>
        <w:rPr>
          <w:rFonts w:ascii="仿宋_GB2312" w:hAnsi="仿宋_GB2312" w:eastAsia="仿宋_GB2312"/>
          <w:b/>
          <w:sz w:val="32"/>
        </w:rPr>
        <w:t>一、财政拨款收入：</w:t>
      </w:r>
      <w:r>
        <w:rPr>
          <w:rFonts w:ascii="仿宋_GB2312" w:hAnsi="仿宋_GB2312" w:eastAsia="仿宋_GB2312"/>
          <w:b w:val="0"/>
          <w:sz w:val="32"/>
        </w:rPr>
        <w:t>指单位本年度从同级财政部门取得的财政拨款，包括一般公共预算财政拨款、政府性基金预算财政拨款和国有资本经营预算财政拨款。</w:t>
      </w:r>
    </w:p>
    <w:p>
      <w:pPr>
        <w:spacing w:lineRule="exact" w:line="600"/>
        <w:ind w:firstLine="643" w:firstLineChars="200"/>
        <w:autoSpaceDE w:val="0"/>
        <w:autoSpaceDN w:val="0"/>
      </w:pPr>
      <w:r>
        <w:rPr>
          <w:rFonts w:ascii="仿宋_GB2312" w:hAnsi="仿宋_GB2312" w:eastAsia="仿宋_GB2312"/>
          <w:b/>
          <w:sz w:val="32"/>
        </w:rPr>
        <w:t>二、上级补助收入：</w:t>
      </w:r>
      <w:r>
        <w:rPr>
          <w:rFonts w:ascii="仿宋_GB2312" w:hAnsi="仿宋_GB2312" w:eastAsia="仿宋_GB2312"/>
          <w:b w:val="0"/>
          <w:sz w:val="32"/>
        </w:rPr>
        <w:t>指事业单位从主管部门和上级单位取得的非财政补助收入。</w:t>
      </w:r>
    </w:p>
    <w:p>
      <w:pPr>
        <w:spacing w:lineRule="exact" w:line="600"/>
        <w:ind w:firstLine="643" w:firstLineChars="200"/>
        <w:autoSpaceDE w:val="0"/>
        <w:autoSpaceDN w:val="0"/>
      </w:pPr>
      <w:r>
        <w:rPr>
          <w:rFonts w:ascii="仿宋_GB2312" w:hAnsi="仿宋_GB2312" w:eastAsia="仿宋_GB2312"/>
          <w:b/>
          <w:sz w:val="32"/>
        </w:rPr>
        <w:t>三、事业收入：</w:t>
      </w:r>
      <w:r>
        <w:rPr>
          <w:rFonts w:ascii="仿宋_GB2312" w:hAnsi="仿宋_GB2312" w:eastAsia="仿宋_GB2312"/>
          <w:b w:val="0"/>
          <w:sz w:val="32"/>
        </w:rPr>
        <w:t>指事业单位开展专业业务活动及其辅助活动取得的收入。</w:t>
      </w:r>
    </w:p>
    <w:p>
      <w:pPr>
        <w:spacing w:lineRule="exact" w:line="600"/>
        <w:ind w:firstLine="643" w:firstLineChars="200"/>
        <w:autoSpaceDE w:val="0"/>
        <w:autoSpaceDN w:val="0"/>
      </w:pPr>
      <w:r>
        <w:rPr>
          <w:rFonts w:ascii="仿宋_GB2312" w:hAnsi="仿宋_GB2312" w:eastAsia="仿宋_GB2312"/>
          <w:b/>
          <w:sz w:val="32"/>
        </w:rPr>
        <w:t>四、经营收入：</w:t>
      </w:r>
      <w:r>
        <w:rPr>
          <w:rFonts w:ascii="仿宋_GB2312" w:hAnsi="仿宋_GB2312" w:eastAsia="仿宋_GB2312"/>
          <w:b w:val="0"/>
          <w:sz w:val="32"/>
        </w:rPr>
        <w:t>指事业单位在专业业务活动及其辅助活动之外开展非独立核算经营活动取得的收入。</w:t>
      </w:r>
    </w:p>
    <w:p>
      <w:pPr>
        <w:spacing w:lineRule="exact" w:line="600"/>
        <w:ind w:firstLine="643" w:firstLineChars="200"/>
        <w:autoSpaceDE w:val="0"/>
        <w:autoSpaceDN w:val="0"/>
      </w:pPr>
      <w:r>
        <w:rPr>
          <w:rFonts w:ascii="仿宋_GB2312" w:hAnsi="仿宋_GB2312" w:eastAsia="仿宋_GB2312"/>
          <w:b/>
          <w:sz w:val="32"/>
        </w:rPr>
        <w:t>五、附属单位上缴收入：</w:t>
      </w:r>
      <w:r>
        <w:rPr>
          <w:rFonts w:ascii="仿宋_GB2312" w:hAnsi="仿宋_GB2312" w:eastAsia="仿宋_GB2312"/>
          <w:b w:val="0"/>
          <w:sz w:val="32"/>
        </w:rPr>
        <w:t>指事业单位附属独立核算单位按照有关规定上缴的收入。</w:t>
      </w:r>
    </w:p>
    <w:p>
      <w:pPr>
        <w:spacing w:lineRule="exact" w:line="600"/>
        <w:ind w:firstLine="643" w:firstLineChars="200"/>
        <w:autoSpaceDE w:val="0"/>
        <w:autoSpaceDN w:val="0"/>
      </w:pPr>
      <w:r>
        <w:rPr>
          <w:rFonts w:ascii="仿宋_GB2312" w:hAnsi="仿宋_GB2312" w:eastAsia="仿宋_GB2312"/>
          <w:b/>
          <w:sz w:val="32"/>
        </w:rPr>
        <w:t>六、其他收入：</w:t>
      </w:r>
      <w:r>
        <w:rPr>
          <w:rFonts w:ascii="仿宋_GB2312" w:hAnsi="仿宋_GB2312" w:eastAsia="仿宋_GB2312"/>
          <w:b w:val="0"/>
          <w:sz w:val="32"/>
        </w:rPr>
        <w:t>指单位取得的除上述“财政拨款收入”“上级补助收入”“事业收入”“经营收入”“附属单位上缴收入”以外的各项收入。</w:t>
      </w:r>
    </w:p>
    <w:p>
      <w:pPr>
        <w:spacing w:lineRule="exact" w:line="600"/>
        <w:ind w:firstLine="643" w:firstLineChars="200"/>
        <w:autoSpaceDE w:val="0"/>
        <w:autoSpaceDN w:val="0"/>
      </w:pPr>
      <w:r>
        <w:rPr>
          <w:rFonts w:ascii="仿宋_GB2312" w:hAnsi="仿宋_GB2312" w:eastAsia="仿宋_GB2312"/>
          <w:b/>
          <w:sz w:val="32"/>
        </w:rPr>
        <w:t>七、年初结转和结余：</w:t>
      </w:r>
      <w:r>
        <w:rPr>
          <w:rFonts w:ascii="仿宋_GB2312" w:hAnsi="仿宋_GB2312" w:eastAsia="仿宋_GB2312"/>
          <w:b w:val="0"/>
          <w:sz w:val="32"/>
        </w:rPr>
        <w:t>指单位上年结转本年使用的基本支出结转、项目支出结转和结余、经营结余。</w:t>
      </w:r>
    </w:p>
    <w:p>
      <w:pPr>
        <w:spacing w:lineRule="exact" w:line="600"/>
        <w:ind w:firstLine="643" w:firstLineChars="200"/>
        <w:autoSpaceDE w:val="0"/>
        <w:autoSpaceDN w:val="0"/>
      </w:pPr>
      <w:r>
        <w:rPr>
          <w:rFonts w:ascii="仿宋_GB2312" w:hAnsi="仿宋_GB2312" w:eastAsia="仿宋_GB2312"/>
          <w:b/>
          <w:sz w:val="32"/>
        </w:rPr>
        <w:t>八、使用非财政拨款结余（含专用结余）：</w:t>
      </w:r>
      <w:r>
        <w:rPr>
          <w:rFonts w:ascii="仿宋_GB2312" w:hAnsi="仿宋_GB2312" w:eastAsia="仿宋_GB2312"/>
          <w:b w:val="0"/>
          <w:sz w:val="32"/>
        </w:rPr>
        <w:t>指单位按照预算管理要求使用非财政拨款结余弥补收支差额的金额，以及使用专用结余安排支出的金额。</w:t>
      </w:r>
    </w:p>
    <w:p>
      <w:pPr>
        <w:spacing w:lineRule="exact" w:line="600"/>
        <w:ind w:firstLine="643" w:firstLineChars="200"/>
        <w:autoSpaceDE w:val="0"/>
        <w:autoSpaceDN w:val="0"/>
      </w:pPr>
      <w:r>
        <w:rPr>
          <w:rFonts w:ascii="仿宋_GB2312" w:hAnsi="仿宋_GB2312" w:eastAsia="仿宋_GB2312"/>
          <w:b/>
          <w:sz w:val="32"/>
        </w:rPr>
        <w:t>九、结余分配：</w:t>
      </w:r>
      <w:r>
        <w:rPr>
          <w:rFonts w:ascii="仿宋_GB2312" w:hAnsi="仿宋_GB2312" w:eastAsia="仿宋_GB2312"/>
          <w:b w:val="0"/>
          <w:sz w:val="32"/>
        </w:rPr>
        <w:t>指单位缴纳企业所得税以及从非财政拨款结余或经营结余中提取各类结余的情况。</w:t>
      </w:r>
    </w:p>
    <w:p>
      <w:pPr>
        <w:spacing w:lineRule="exact" w:line="600"/>
        <w:ind w:firstLine="643" w:firstLineChars="200"/>
        <w:autoSpaceDE w:val="0"/>
        <w:autoSpaceDN w:val="0"/>
      </w:pPr>
      <w:r>
        <w:rPr>
          <w:rFonts w:ascii="仿宋_GB2312" w:hAnsi="仿宋_GB2312" w:eastAsia="仿宋_GB2312"/>
          <w:b/>
          <w:sz w:val="32"/>
        </w:rPr>
        <w:t>十、年末结转和结余：</w:t>
      </w:r>
      <w:r>
        <w:rPr>
          <w:rFonts w:ascii="仿宋_GB2312" w:hAnsi="仿宋_GB2312" w:eastAsia="仿宋_GB2312"/>
          <w:b w:val="0"/>
          <w:sz w:val="32"/>
        </w:rPr>
        <w:t>指单位结转下年的基本支出结转、项目支出结转和结余、经营结余。</w:t>
      </w:r>
    </w:p>
    <w:p>
      <w:pPr>
        <w:spacing w:lineRule="exact" w:line="600"/>
        <w:ind w:firstLine="643" w:firstLineChars="200"/>
        <w:autoSpaceDE w:val="0"/>
        <w:autoSpaceDN w:val="0"/>
      </w:pPr>
      <w:r>
        <w:rPr>
          <w:rFonts w:ascii="仿宋_GB2312" w:hAnsi="仿宋_GB2312" w:eastAsia="仿宋_GB2312"/>
          <w:b/>
          <w:sz w:val="32"/>
        </w:rPr>
        <w:t>十一、基本支出：</w:t>
      </w:r>
      <w:r>
        <w:rPr>
          <w:rFonts w:ascii="仿宋_GB2312" w:hAnsi="仿宋_GB2312" w:eastAsia="仿宋_GB2312"/>
          <w:b w:val="0"/>
          <w:sz w:val="32"/>
        </w:rPr>
        <w:t>指单位为保障机构正常运转、完成日常工作任务而发生的各项支出。</w:t>
      </w:r>
    </w:p>
    <w:p>
      <w:pPr>
        <w:spacing w:lineRule="exact" w:line="600"/>
        <w:ind w:firstLine="643" w:firstLineChars="200"/>
        <w:autoSpaceDE w:val="0"/>
        <w:autoSpaceDN w:val="0"/>
      </w:pPr>
      <w:r>
        <w:rPr>
          <w:rFonts w:ascii="仿宋_GB2312" w:hAnsi="仿宋_GB2312" w:eastAsia="仿宋_GB2312"/>
          <w:b/>
          <w:sz w:val="32"/>
        </w:rPr>
        <w:t>十二、项目支出：</w:t>
      </w:r>
      <w:r>
        <w:rPr>
          <w:rFonts w:ascii="仿宋_GB2312" w:hAnsi="仿宋_GB2312" w:eastAsia="仿宋_GB2312"/>
          <w:b w:val="0"/>
          <w:sz w:val="32"/>
        </w:rPr>
        <w:t>指单位为完成特定的行政工作任务或事业发展目标，在基本支出之外发生的各项支出。</w:t>
      </w:r>
    </w:p>
    <w:p>
      <w:pPr>
        <w:spacing w:lineRule="exact" w:line="600"/>
        <w:ind w:firstLine="643" w:firstLineChars="200"/>
        <w:autoSpaceDE w:val="0"/>
        <w:autoSpaceDN w:val="0"/>
      </w:pPr>
      <w:r>
        <w:rPr>
          <w:rFonts w:ascii="仿宋_GB2312" w:hAnsi="仿宋_GB2312" w:eastAsia="仿宋_GB2312"/>
          <w:b/>
          <w:sz w:val="32"/>
        </w:rPr>
        <w:t>十三、上缴上级支出：</w:t>
      </w:r>
      <w:r>
        <w:rPr>
          <w:rFonts w:ascii="仿宋_GB2312" w:hAnsi="仿宋_GB2312" w:eastAsia="仿宋_GB2312"/>
          <w:b w:val="0"/>
          <w:sz w:val="32"/>
        </w:rPr>
        <w:t>指事业单位按照财政部门和主管部门的规定上缴上级单位的支出。</w:t>
      </w:r>
    </w:p>
    <w:p>
      <w:pPr>
        <w:spacing w:lineRule="exact" w:line="600"/>
        <w:ind w:firstLine="643" w:firstLineChars="200"/>
        <w:autoSpaceDE w:val="0"/>
        <w:autoSpaceDN w:val="0"/>
      </w:pPr>
      <w:r>
        <w:rPr>
          <w:rFonts w:ascii="仿宋_GB2312" w:hAnsi="仿宋_GB2312" w:eastAsia="仿宋_GB2312"/>
          <w:b/>
          <w:sz w:val="32"/>
        </w:rPr>
        <w:t>十四、经营支出：</w:t>
      </w:r>
      <w:r>
        <w:rPr>
          <w:rFonts w:ascii="仿宋_GB2312" w:hAnsi="仿宋_GB2312" w:eastAsia="仿宋_GB2312"/>
          <w:b w:val="0"/>
          <w:sz w:val="32"/>
        </w:rPr>
        <w:t>指事业单位在专业活动及辅助活动之外开展非独立核算经营活动发生的支出。</w:t>
      </w:r>
    </w:p>
    <w:p>
      <w:pPr>
        <w:spacing w:lineRule="exact" w:line="600"/>
        <w:ind w:firstLine="643" w:firstLineChars="200"/>
        <w:autoSpaceDE w:val="0"/>
        <w:autoSpaceDN w:val="0"/>
      </w:pPr>
      <w:r>
        <w:rPr>
          <w:rFonts w:ascii="仿宋_GB2312" w:hAnsi="仿宋_GB2312" w:eastAsia="仿宋_GB2312"/>
          <w:b/>
          <w:sz w:val="32"/>
        </w:rPr>
        <w:t>十五、对附属单位补助支出：</w:t>
      </w:r>
      <w:r>
        <w:rPr>
          <w:rFonts w:ascii="仿宋_GB2312" w:hAnsi="仿宋_GB2312" w:eastAsia="仿宋_GB2312"/>
          <w:b w:val="0"/>
          <w:sz w:val="32"/>
        </w:rPr>
        <w:t>指事业单位用财政补助收入之外的收入对附属单位补助发生的支出。</w:t>
      </w:r>
    </w:p>
    <w:p>
      <w:pPr>
        <w:spacing w:lineRule="exact" w:line="600"/>
        <w:ind w:firstLine="643" w:firstLineChars="200"/>
        <w:autoSpaceDE w:val="0"/>
        <w:autoSpaceDN w:val="0"/>
      </w:pPr>
      <w:r>
        <w:rPr>
          <w:rFonts w:ascii="仿宋_GB2312" w:hAnsi="仿宋_GB2312" w:eastAsia="仿宋_GB2312"/>
          <w:b/>
          <w:sz w:val="32"/>
        </w:rPr>
        <w:t>十六、“三公”经费：</w:t>
      </w:r>
      <w:r>
        <w:rPr>
          <w:rFonts w:ascii="仿宋_GB2312" w:hAnsi="仿宋_GB2312" w:eastAsia="仿宋_GB2312"/>
          <w:b w:val="0"/>
          <w:sz w:val="32"/>
        </w:rPr>
        <w:t>指单位使用财政拨款安排的因公出国（境）费用、公务用车购置及运行维护费和公务接待费。其中，因公出国（境）费用反映单位公务出国（境）的国际旅费、国外城市间交通费、住宿费、伙食费、培训费、公杂费等支出；公务用车购置费反映公务用车购置支出（含车辆购置税、牌照费）；公务用车运行维护费反映单位按规定保留的公务用车燃料费、新能源汽车充电费、维修费、过路过桥费、保险费、安全奖励费用等支出；公务接待费反映单位按规定开支的各类公务接待（含外宾接待）费用。</w:t>
      </w:r>
    </w:p>
    <w:p>
      <w:pPr>
        <w:spacing w:lineRule="exact" w:line="600"/>
        <w:ind w:firstLine="643" w:firstLineChars="200"/>
        <w:autoSpaceDE w:val="0"/>
        <w:autoSpaceDN w:val="0"/>
      </w:pPr>
      <w:r>
        <w:rPr>
          <w:rFonts w:ascii="仿宋_GB2312" w:hAnsi="仿宋_GB2312" w:eastAsia="仿宋_GB2312"/>
          <w:b/>
          <w:sz w:val="32"/>
        </w:rPr>
        <w:t>十七、机关运行经费：</w:t>
      </w:r>
      <w:r>
        <w:rPr>
          <w:rFonts w:ascii="仿宋_GB2312" w:hAnsi="仿宋_GB2312" w:eastAsia="仿宋_GB2312"/>
          <w:b w:val="0"/>
          <w:sz w:val="32"/>
        </w:rPr>
        <w:t>指行政单位和参照公务员法管理的事业单位财政拨款基本支出中的公用经费支出。</w:t>
      </w:r>
    </w:p>
    <w:p>
      <w:r>
        <w:br w:type="page"/>
      </w:r>
    </w:p>
    <w:p>
      <w:pPr>
        <w:spacing w:line="240" w:lineRule="auto"/>
        <w:jc w:val="center"/>
        <w:outlineLvl w:val="1"/>
      </w:pPr>
      <w:r>
        <w:rPr>
          <w:rFonts w:ascii="黑体" w:hAnsi="黑体" w:eastAsia="黑体"/>
          <w:sz w:val="32"/>
        </w:rPr>
        <w:t>第四部分 部门决算报表（见附表）</w:t>
      </w:r>
    </w:p>
    <w:p>
      <w:pPr>
        <w:spacing w:lineRule="exact" w:line="600"/>
        <w:ind w:firstLine="643" w:firstLineChars="200"/>
        <w:autoSpaceDE w:val="0"/>
        <w:autoSpaceDN w:val="0"/>
      </w:pPr>
      <w:r>
        <w:rPr>
          <w:rFonts w:ascii="仿宋_GB2312" w:hAnsi="仿宋_GB2312" w:eastAsia="仿宋_GB2312"/>
          <w:b w:val="0"/>
          <w:sz w:val="32"/>
        </w:rPr>
        <w:t>一、《收入支出决算总表》</w:t>
      </w:r>
    </w:p>
    <w:p>
      <w:pPr>
        <w:spacing w:lineRule="exact" w:line="600"/>
        <w:ind w:firstLine="643" w:firstLineChars="200"/>
        <w:autoSpaceDE w:val="0"/>
        <w:autoSpaceDN w:val="0"/>
      </w:pPr>
      <w:r>
        <w:rPr>
          <w:rFonts w:ascii="仿宋_GB2312" w:hAnsi="仿宋_GB2312" w:eastAsia="仿宋_GB2312"/>
          <w:b w:val="0"/>
          <w:sz w:val="32"/>
        </w:rPr>
        <w:t>二、《收入决算表》</w:t>
      </w:r>
    </w:p>
    <w:p>
      <w:pPr>
        <w:spacing w:lineRule="exact" w:line="600"/>
        <w:ind w:firstLine="643" w:firstLineChars="200"/>
        <w:autoSpaceDE w:val="0"/>
        <w:autoSpaceDN w:val="0"/>
      </w:pPr>
      <w:r>
        <w:rPr>
          <w:rFonts w:ascii="仿宋_GB2312" w:hAnsi="仿宋_GB2312" w:eastAsia="仿宋_GB2312"/>
          <w:b w:val="0"/>
          <w:sz w:val="32"/>
        </w:rPr>
        <w:t>三、《支出决算表》</w:t>
      </w:r>
    </w:p>
    <w:p>
      <w:pPr>
        <w:spacing w:lineRule="exact" w:line="600"/>
        <w:ind w:firstLine="643" w:firstLineChars="200"/>
        <w:autoSpaceDE w:val="0"/>
        <w:autoSpaceDN w:val="0"/>
      </w:pPr>
      <w:r>
        <w:rPr>
          <w:rFonts w:ascii="仿宋_GB2312" w:hAnsi="仿宋_GB2312" w:eastAsia="仿宋_GB2312"/>
          <w:b w:val="0"/>
          <w:sz w:val="32"/>
        </w:rPr>
        <w:t>四、《财政拨款收入支出决算总表》</w:t>
      </w:r>
    </w:p>
    <w:p>
      <w:pPr>
        <w:spacing w:lineRule="exact" w:line="600"/>
        <w:ind w:firstLine="643" w:firstLineChars="200"/>
        <w:autoSpaceDE w:val="0"/>
        <w:autoSpaceDN w:val="0"/>
      </w:pPr>
      <w:r>
        <w:rPr>
          <w:rFonts w:ascii="仿宋_GB2312" w:hAnsi="仿宋_GB2312" w:eastAsia="仿宋_GB2312"/>
          <w:b w:val="0"/>
          <w:sz w:val="32"/>
        </w:rPr>
        <w:t>五、《一般公共预算财政拨款支出决算表》</w:t>
      </w:r>
    </w:p>
    <w:p>
      <w:pPr>
        <w:spacing w:lineRule="exact" w:line="600"/>
        <w:ind w:firstLine="643" w:firstLineChars="200"/>
        <w:autoSpaceDE w:val="0"/>
        <w:autoSpaceDN w:val="0"/>
      </w:pPr>
      <w:r>
        <w:rPr>
          <w:rFonts w:ascii="仿宋_GB2312" w:hAnsi="仿宋_GB2312" w:eastAsia="仿宋_GB2312"/>
          <w:b w:val="0"/>
          <w:sz w:val="32"/>
        </w:rPr>
        <w:t>六、《一般公共预算财政拨款基本支出决算表》</w:t>
      </w:r>
    </w:p>
    <w:p>
      <w:pPr>
        <w:spacing w:lineRule="exact" w:line="600"/>
        <w:ind w:firstLine="643" w:firstLineChars="200"/>
        <w:autoSpaceDE w:val="0"/>
        <w:autoSpaceDN w:val="0"/>
      </w:pPr>
      <w:r>
        <w:rPr>
          <w:rFonts w:ascii="仿宋_GB2312" w:hAnsi="仿宋_GB2312" w:eastAsia="仿宋_GB2312"/>
          <w:b w:val="0"/>
          <w:sz w:val="32"/>
        </w:rPr>
        <w:t>七、《政府性基金预算财政拨款收入支出决算表》</w:t>
      </w:r>
    </w:p>
    <w:p>
      <w:pPr>
        <w:spacing w:lineRule="exact" w:line="600"/>
        <w:ind w:firstLine="643" w:firstLineChars="200"/>
        <w:autoSpaceDE w:val="0"/>
        <w:autoSpaceDN w:val="0"/>
      </w:pPr>
      <w:r>
        <w:rPr>
          <w:rFonts w:ascii="仿宋_GB2312" w:hAnsi="仿宋_GB2312" w:eastAsia="仿宋_GB2312"/>
          <w:b w:val="0"/>
          <w:sz w:val="32"/>
        </w:rPr>
        <w:t>八、《国有资本经营预算财政拨款收入支出决算表》</w:t>
      </w:r>
    </w:p>
    <w:p>
      <w:pPr>
        <w:spacing w:lineRule="exact" w:line="600"/>
        <w:ind w:firstLine="643" w:firstLineChars="200"/>
        <w:autoSpaceDE w:val="0"/>
        <w:autoSpaceDN w:val="0"/>
      </w:pPr>
      <w:r>
        <w:rPr>
          <w:rFonts w:ascii="仿宋_GB2312" w:hAnsi="仿宋_GB2312" w:eastAsia="仿宋_GB2312"/>
          <w:b w:val="0"/>
          <w:sz w:val="32"/>
        </w:rPr>
        <w:t>九、《财政拨款“三公”经费支出决算表》</w:t>
      </w:r>
    </w:p>
    <w:p>
      <w:pPr>
        <w:spacing w:lineRule="exact" w:line="600"/>
        <w:ind w:firstLine="643" w:firstLineChars="200"/>
        <w:autoSpaceDE w:val="0"/>
        <w:autoSpaceDN w:val="0"/>
      </w:pPr>
    </w:p>
    <w:p>
      <w:pPr>
        <w:spacing w:lineRule="exact" w:line="600"/>
        <w:ind w:firstLine="643" w:firstLineChars="200"/>
        <w:autoSpaceDE w:val="0"/>
        <w:autoSpaceDN w:val="0"/>
      </w:pPr>
    </w:p>
    <w:p>
      <w:pPr>
        <w:spacing w:lineRule="exact" w:line="600"/>
        <w:ind w:firstLine="643" w:firstLineChars="200"/>
        <w:autoSpaceDE w:val="0"/>
        <w:autoSpaceDN w:val="0"/>
      </w:pPr>
    </w:p>
    <w:p>
      <w:pPr>
        <w:spacing w:lineRule="exact" w:line="600"/>
        <w:ind w:firstLine="643" w:firstLineChars="200"/>
        <w:autoSpaceDE w:val="0"/>
        <w:autoSpaceDN w:val="0"/>
      </w:pPr>
    </w:p>
    <w:p>
      <w:pPr>
        <w:spacing w:lineRule="exact" w:line="600"/>
        <w:ind w:firstLine="643" w:firstLineChars="200"/>
        <w:autoSpaceDE w:val="0"/>
        <w:autoSpaceDN w:val="0"/>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EA382358-5FB0-4BFB-AA9D-340FD89383CE}"/>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_GBK">
    <w:altName w:val="微软雅黑"/>
    <w:panose1 w:val="00000000000000000000"/>
    <w:charset w:val="86"/>
    <w:family w:val="script"/>
    <w:pitch w:val="default"/>
    <w:sig w:usb0="00000000" w:usb1="00000000" w:usb2="00082016" w:usb3="00000000" w:csb0="00040001" w:csb1="00000000"/>
    <w:embedRegular r:id="rId2" w:fontKey="{B0E6D792-6E8F-4F84-99FA-9970FA3A7C22}"/>
  </w:font>
  <w:font w:name="仿宋_GB2312">
    <w:altName w:val="微软雅黑"/>
    <w:panose1 w:val="02010609030101010101"/>
    <w:charset w:val="86"/>
    <w:family w:val="modern"/>
    <w:pitch w:val="default"/>
    <w:sig w:usb0="00000001" w:usb1="080E0000" w:usb2="00000000" w:usb3="00000000" w:csb0="00040000" w:csb1="00000000"/>
    <w:embedRegular r:id="rId3" w:fontKey="{45C515A8-30E2-40B7-BB08-E73601327DDD}"/>
  </w:font>
  <w:font w:name="微软雅黑">
    <w:panose1 w:val="020B0503020204020204"/>
    <w:charset w:val="86"/>
    <w:family w:val="auto"/>
    <w:pitch w:val="default"/>
    <w:sig w:usb0="80000287" w:usb1="2ACF3C50" w:usb2="00000016" w:usb3="00000000" w:csb0="0004001F" w:csb1="00000000"/>
  </w:font>
  <w:font w:name="KSOF8080F95D">
    <w:panose1 w:val="020B0503020204020204"/>
    <w:charset w:val="86"/>
    <w:family w:val="auto"/>
    <w:pitch w:val="default"/>
    <w:sig w:usb0="00000001" w:usb1="00000000" w:usb2="00000000" w:usb3="00000000" w:csb0="00040001" w:csb1="00000000"/>
  </w:font>
  <w:font w:name="WPSEMBED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1994FD">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06890CC">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wps:txbx>
                    <wps:bodyPr vert="horz" wrap="none" lIns="0" tIns="0" rIns="0" bIns="0" anchor="t" anchorCtr="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DOqXm5zwAAAAUBAAAPAAAAAAAAAAEAIAAAACIAAABk&#10;cnMvZG93bnJldi54bWxQSwECFAAUAAAACACHTuJA6rY5ptYBAACyAwAADgAAAAAAAAABACAAAAAe&#10;AQAAZHJzL2Uyb0RvYy54bWxQSwUGAAAAAAYABgBZAQAAZgUAAAAA&#10;">
              <v:fill on="f" focussize="0,0"/>
              <v:stroke on="f"/>
              <v:imagedata o:title=""/>
              <o:lock v:ext="edit" aspectratio="f"/>
              <v:textbox inset="0mm,0mm,0mm,0mm" style="mso-fit-shape-to-text:t;">
                <w:txbxContent>
                  <w:p w14:paraId="106890CC">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DAwYmRmZTlkODBlYWI2MWEzOGMyNWRlOTFmY2QzMTQifQ=="/>
  </w:docVars>
  <w:rsids>
    <w:rsidRoot w:val="00672051"/>
    <w:rsid w:val="000D14C6"/>
    <w:rsid w:val="002D017C"/>
    <w:rsid w:val="0039186B"/>
    <w:rsid w:val="00644722"/>
    <w:rsid w:val="00672051"/>
    <w:rsid w:val="006B29E4"/>
    <w:rsid w:val="00702FBA"/>
    <w:rsid w:val="00982448"/>
    <w:rsid w:val="009D5C6A"/>
    <w:rsid w:val="00A22425"/>
    <w:rsid w:val="00D34B7C"/>
    <w:rsid w:val="00F14B19"/>
    <w:rsid w:val="02F73D26"/>
    <w:rsid w:val="034D4FEF"/>
    <w:rsid w:val="03DE0026"/>
    <w:rsid w:val="03E2747C"/>
    <w:rsid w:val="043E5B56"/>
    <w:rsid w:val="04EF7C1A"/>
    <w:rsid w:val="06792773"/>
    <w:rsid w:val="06896151"/>
    <w:rsid w:val="09A729D8"/>
    <w:rsid w:val="0A7B4867"/>
    <w:rsid w:val="0AC260D6"/>
    <w:rsid w:val="0B8C3ECC"/>
    <w:rsid w:val="0BC24C29"/>
    <w:rsid w:val="0C3613A3"/>
    <w:rsid w:val="0C7227A7"/>
    <w:rsid w:val="0DCA6EF7"/>
    <w:rsid w:val="0E4B1576"/>
    <w:rsid w:val="11E15093"/>
    <w:rsid w:val="120E0809"/>
    <w:rsid w:val="181A30AD"/>
    <w:rsid w:val="1875698D"/>
    <w:rsid w:val="19071D6C"/>
    <w:rsid w:val="1C317E4F"/>
    <w:rsid w:val="1C472464"/>
    <w:rsid w:val="1DAF458D"/>
    <w:rsid w:val="1E086ACE"/>
    <w:rsid w:val="1EAA4A5F"/>
    <w:rsid w:val="1F040613"/>
    <w:rsid w:val="1F587A0B"/>
    <w:rsid w:val="1FE96E5D"/>
    <w:rsid w:val="2064678E"/>
    <w:rsid w:val="20DD6197"/>
    <w:rsid w:val="21F317F2"/>
    <w:rsid w:val="2241392C"/>
    <w:rsid w:val="23BC04D2"/>
    <w:rsid w:val="25275618"/>
    <w:rsid w:val="27CF2642"/>
    <w:rsid w:val="282459E2"/>
    <w:rsid w:val="2A053397"/>
    <w:rsid w:val="2A444FB1"/>
    <w:rsid w:val="2A6064E2"/>
    <w:rsid w:val="2BA9200B"/>
    <w:rsid w:val="2D1136DF"/>
    <w:rsid w:val="2DAE0E44"/>
    <w:rsid w:val="2EB07E70"/>
    <w:rsid w:val="2F9E416C"/>
    <w:rsid w:val="2FD27414"/>
    <w:rsid w:val="313F1D52"/>
    <w:rsid w:val="318029AB"/>
    <w:rsid w:val="319D6C1C"/>
    <w:rsid w:val="31C63837"/>
    <w:rsid w:val="326F0A17"/>
    <w:rsid w:val="34623382"/>
    <w:rsid w:val="390019F4"/>
    <w:rsid w:val="3914510A"/>
    <w:rsid w:val="3B1220C9"/>
    <w:rsid w:val="3D5275AC"/>
    <w:rsid w:val="3D55093B"/>
    <w:rsid w:val="3EA7725F"/>
    <w:rsid w:val="40834692"/>
    <w:rsid w:val="423A32B2"/>
    <w:rsid w:val="464B7E04"/>
    <w:rsid w:val="46901EEE"/>
    <w:rsid w:val="469C74D2"/>
    <w:rsid w:val="47445515"/>
    <w:rsid w:val="48E21116"/>
    <w:rsid w:val="49C97D5C"/>
    <w:rsid w:val="49F5131D"/>
    <w:rsid w:val="4AE426AE"/>
    <w:rsid w:val="4B4C0111"/>
    <w:rsid w:val="4D3F1CC6"/>
    <w:rsid w:val="4D730311"/>
    <w:rsid w:val="505A358E"/>
    <w:rsid w:val="50DB5F45"/>
    <w:rsid w:val="52F92565"/>
    <w:rsid w:val="55DA564E"/>
    <w:rsid w:val="56E07045"/>
    <w:rsid w:val="583059FA"/>
    <w:rsid w:val="587E6212"/>
    <w:rsid w:val="58D10A34"/>
    <w:rsid w:val="59973ABF"/>
    <w:rsid w:val="5A74678C"/>
    <w:rsid w:val="5AFC6609"/>
    <w:rsid w:val="5C3B09A8"/>
    <w:rsid w:val="5FA17648"/>
    <w:rsid w:val="613409CB"/>
    <w:rsid w:val="61A46A97"/>
    <w:rsid w:val="62DD7D21"/>
    <w:rsid w:val="65D97752"/>
    <w:rsid w:val="664C500C"/>
    <w:rsid w:val="670267B3"/>
    <w:rsid w:val="6773145F"/>
    <w:rsid w:val="68DB0208"/>
    <w:rsid w:val="69846A0E"/>
    <w:rsid w:val="69AD798C"/>
    <w:rsid w:val="6B68175F"/>
    <w:rsid w:val="6B8B5C99"/>
    <w:rsid w:val="6E0F7A08"/>
    <w:rsid w:val="6E801ABC"/>
    <w:rsid w:val="71473612"/>
    <w:rsid w:val="716B13F9"/>
    <w:rsid w:val="718F7F65"/>
    <w:rsid w:val="73423603"/>
    <w:rsid w:val="73DE4104"/>
    <w:rsid w:val="73FB6630"/>
    <w:rsid w:val="74CE04EC"/>
    <w:rsid w:val="74E76DCD"/>
    <w:rsid w:val="76660D7C"/>
    <w:rsid w:val="76CF72D3"/>
    <w:rsid w:val="77ED6F44"/>
    <w:rsid w:val="78B87A58"/>
    <w:rsid w:val="795A0A34"/>
    <w:rsid w:val="79FB30B5"/>
    <w:rsid w:val="7A0D3BC7"/>
    <w:rsid w:val="7A3A3CDB"/>
    <w:rsid w:val="7EAC4F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32"/>
      <w:szCs w:val="24"/>
      <w:lang w:val="en-US" w:eastAsia="zh-CN" w:bidi="ar-SA"/>
    </w:rPr>
  </w:style>
  <w:style w:type="character" w:default="1" w:styleId="9">
    <w:name w:val="Default Paragraph Font"/>
    <w:semiHidden/>
    <w:unhideWhenUsed/>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toc 3"/>
    <w:basedOn w:val="1"/>
    <w:next w:val="1"/>
    <w:qFormat/>
    <w:uiPriority w:val="0"/>
    <w:pPr>
      <w:ind w:left="840" w:leftChars="400"/>
    </w:p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6">
    <w:name w:val="toc 1"/>
    <w:basedOn w:val="1"/>
    <w:next w:val="1"/>
    <w:qFormat/>
    <w:uiPriority w:val="0"/>
  </w:style>
  <w:style w:type="paragraph" w:styleId="7">
    <w:name w:val="toc 2"/>
    <w:basedOn w:val="1"/>
    <w:next w:val="1"/>
    <w:qFormat/>
    <w:uiPriority w:val="0"/>
    <w:pPr>
      <w:ind w:left="420" w:leftChars="200"/>
    </w:pPr>
  </w:style>
  <w:style w:type="paragraph" w:customStyle="1" w:styleId="10">
    <w:name w:val="WPSOffice手动目录 3"/>
    <w:qFormat/>
    <w:uiPriority w:val="0"/>
    <w:pPr>
      <w:ind w:left="400" w:leftChars="400"/>
    </w:pPr>
    <w:rPr>
      <w:rFonts w:ascii="Times New Roman" w:hAnsi="Times New Roman" w:eastAsia="宋体" w:cs="Times New Roman"/>
      <w:lang w:val="en-US" w:eastAsia="zh-CN" w:bidi="ar-SA"/>
    </w:rPr>
  </w:style>
  <w:style w:type="paragraph" w:customStyle="1" w:styleId="11">
    <w:name w:val="WPSOffice手动目录 2"/>
    <w:qFormat/>
    <w:uiPriority w:val="0"/>
    <w:pPr>
      <w:ind w:left="200" w:leftChars="200"/>
    </w:pPr>
    <w:rPr>
      <w:rFonts w:ascii="Times New Roman" w:hAnsi="Times New Roman" w:eastAsia="宋体" w:cs="Times New Roman"/>
      <w:lang w:val="en-US" w:eastAsia="zh-CN" w:bidi="ar-SA"/>
    </w:rPr>
  </w:style>
  <w:style w:type="paragraph" w:customStyle="1" w:styleId="12">
    <w:name w:val="WPSOffice手动目录 1"/>
    <w:qFormat/>
    <w:uiPriority w:val="0"/>
    <w:rPr>
      <w:rFonts w:ascii="Times New Roman" w:hAnsi="Times New Roman" w:eastAsia="宋体" w:cs="Times New Roman"/>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0D2BC71-196F-4E8D-B958-07750D1EE8B3}">
  <ds:schemaRefs/>
</ds:datastoreItem>
</file>

<file path=docProps/app.xml><?xml version="1.0" encoding="utf-8"?>
<Properties xmlns="http://schemas.openxmlformats.org/officeDocument/2006/extended-properties" xmlns:vt="http://schemas.openxmlformats.org/officeDocument/2006/docPropsVTypes">
  <Template>Normal.dotm</Template>
  <Pages>3</Pages>
  <Words>519</Words>
  <Characters>537</Characters>
  <Lines>10</Lines>
  <Paragraphs>2</Paragraphs>
  <TotalTime>7</TotalTime>
  <ScaleCrop>false</ScaleCrop>
  <LinksUpToDate>false</LinksUpToDate>
  <CharactersWithSpaces>543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2026-07-22T07:37:00Z</dcterms:created>
  <dc:creator>GXR</dc:creator>
  <cp:lastModifiedBy>净</cp:lastModifiedBy>
  <cp:lastPrinted>2024-07-22T11:58:00Z</cp:lastPrinted>
  <dcterms:modified xsi:type="dcterms:W3CDTF">2026-08-25T03:09:34Z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8FDA567F26D84A8C8A1B02E29FDE1AE6_13</vt:lpwstr>
  </property>
  <property fmtid="{D5CDD505-2E9C-101B-9397-08002B2CF9AE}" pid="4" name="KSOTemplateDocerSaveRecord">
    <vt:lpwstr>eyJoZGlkIjoiYzdkNWY5OGM4OTRiMDBlYmMyNmZmZGZhMDgxMzY1MzQiLCJ1c2VySWQiOiI0MDU5MTQxNzUifQ==</vt:lpwstr>
  </property>
</Properties>
</file>