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昌吉回族自治州机关后勤服务中心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1、负责州级机关“四套班子”办公楼以及州本级所辖综合办公楼公共部分水、电、暖的正常供应，以及消防、电梯、空调、监控等设施、设备的维修、维护工作。</w:t>
      </w:r>
    </w:p>
    <w:p>
      <w:pPr>
        <w:spacing w:line="580" w:lineRule="exact"/>
        <w:ind w:firstLine="640"/>
        <w:jc w:val="both"/>
      </w:pPr>
      <w:r>
        <w:rPr>
          <w:rFonts w:ascii="仿宋_GB2312" w:hAnsi="仿宋_GB2312" w:eastAsia="仿宋_GB2312"/>
          <w:sz w:val="32"/>
        </w:rPr>
        <w:t>2、负责所辖办公大楼公共区域的安保、室内外保洁、环境绿化、美化和亮化等工作。</w:t>
      </w:r>
    </w:p>
    <w:p>
      <w:pPr>
        <w:spacing w:line="580" w:lineRule="exact"/>
        <w:ind w:firstLine="640"/>
        <w:jc w:val="both"/>
      </w:pPr>
      <w:r>
        <w:rPr>
          <w:rFonts w:ascii="仿宋_GB2312" w:hAnsi="仿宋_GB2312" w:eastAsia="仿宋_GB2312"/>
          <w:sz w:val="32"/>
        </w:rPr>
        <w:t>3、负责各办公场所区域内节能管理工作。</w:t>
      </w:r>
    </w:p>
    <w:p>
      <w:pPr>
        <w:spacing w:line="580" w:lineRule="exact"/>
        <w:ind w:firstLine="640"/>
        <w:jc w:val="both"/>
      </w:pPr>
      <w:r>
        <w:rPr>
          <w:rFonts w:ascii="仿宋_GB2312" w:hAnsi="仿宋_GB2312" w:eastAsia="仿宋_GB2312"/>
          <w:sz w:val="32"/>
        </w:rPr>
        <w:t>4、负责为机关(厅级)干部提供食宿服务。</w:t>
      </w:r>
    </w:p>
    <w:p>
      <w:pPr>
        <w:spacing w:line="580" w:lineRule="exact"/>
        <w:ind w:firstLine="640"/>
        <w:jc w:val="both"/>
      </w:pPr>
      <w:r>
        <w:rPr>
          <w:rFonts w:ascii="仿宋_GB2312" w:hAnsi="仿宋_GB2312" w:eastAsia="仿宋_GB2312"/>
          <w:sz w:val="32"/>
        </w:rPr>
        <w:t>5、负责会议场所的日常管理、会务服务工作。</w:t>
      </w:r>
    </w:p>
    <w:p>
      <w:pPr>
        <w:spacing w:line="580" w:lineRule="exact"/>
        <w:ind w:firstLine="640"/>
        <w:jc w:val="both"/>
      </w:pPr>
      <w:r>
        <w:rPr>
          <w:rFonts w:ascii="仿宋_GB2312" w:hAnsi="仿宋_GB2312" w:eastAsia="仿宋_GB2312"/>
          <w:sz w:val="32"/>
        </w:rPr>
        <w:t>6、负责州（厅级)交流干部宿舍及州人才公寓的日常管理和后勤服务保障工作。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昌吉回族自治州机关后勤服务中心无下属预算单位。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2025年度收入总计4,971.78万元，</w:t>
      </w:r>
      <w:r>
        <w:rPr>
          <w:rFonts w:ascii="仿宋_GB2312" w:hAnsi="仿宋_GB2312" w:eastAsia="仿宋_GB2312"/>
          <w:b w:val="0"/>
          <w:sz w:val="32"/>
        </w:rPr>
        <w:t>其中：本年收入合计4,960.31万元，使用非财政拨款结余（含专用结余）0.00万元，年初结转和结余11.46万元。</w:t>
      </w:r>
    </w:p>
    <w:p>
      <w:pPr>
        <w:spacing w:line="580" w:lineRule="exact"/>
        <w:ind w:firstLine="640"/>
        <w:jc w:val="both"/>
      </w:pPr>
      <w:r>
        <w:rPr>
          <w:rFonts w:ascii="仿宋_GB2312" w:hAnsi="仿宋_GB2312" w:eastAsia="仿宋_GB2312"/>
          <w:b/>
          <w:sz w:val="32"/>
        </w:rPr>
        <w:t>2025年度支出总计4,971.78万元，</w:t>
      </w:r>
      <w:r>
        <w:rPr>
          <w:rFonts w:ascii="仿宋_GB2312" w:hAnsi="仿宋_GB2312" w:eastAsia="仿宋_GB2312"/>
          <w:b w:val="0"/>
          <w:sz w:val="32"/>
        </w:rPr>
        <w:t>其中：本年支出合计4,960.31万元，结余分配0.00万元，年末结转和结余11.46万元。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减少1,913.36万元，下降27.79%，主要原因是：本年州直机关食堂补助项目、机关后勤服务保障等项目经费较上年减少。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本年收入4,960.31万元，</w:t>
      </w:r>
      <w:r>
        <w:rPr>
          <w:rFonts w:ascii="仿宋_GB2312" w:hAnsi="仿宋_GB2312" w:eastAsia="仿宋_GB2312"/>
          <w:b w:val="0"/>
          <w:sz w:val="32"/>
        </w:rPr>
        <w:t>其中：财政拨款收入4,960.31万元，占100.00%；上级补助收入0.00万元，占0.00%；事业收入0.00万元，占0.00%；经营收入0.00万元，占0.00%；附属单位上缴收入0.00万元，占0.00%；其他收入0.00万元，占0.00%。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本年支出4,960.31万元，</w:t>
      </w:r>
      <w:r>
        <w:rPr>
          <w:rFonts w:ascii="仿宋_GB2312" w:hAnsi="仿宋_GB2312" w:eastAsia="仿宋_GB2312"/>
          <w:b w:val="0"/>
          <w:sz w:val="32"/>
        </w:rPr>
        <w:t>其中：基本支出402.49万元，占8.11%；项目支出4,557.82万元，占91.89%；上缴上级支出0.00万元，占0.00%；经营支出0.00万元，占0.00%；对附属单位补助支出0.00万元，占0.00%。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2025年度财政拨款收入总计4,960.31万元，</w:t>
      </w:r>
      <w:r>
        <w:rPr>
          <w:rFonts w:ascii="仿宋_GB2312" w:hAnsi="仿宋_GB2312" w:eastAsia="仿宋_GB2312"/>
          <w:b w:val="0"/>
          <w:sz w:val="32"/>
        </w:rPr>
        <w:t>其中：年初财政拨款结转和结余0.00万元，本年财政拨款收入4,960.31万元。</w:t>
      </w:r>
      <w:r>
        <w:rPr>
          <w:rFonts w:ascii="仿宋_GB2312" w:hAnsi="仿宋_GB2312" w:eastAsia="仿宋_GB2312"/>
          <w:b/>
          <w:sz w:val="32"/>
        </w:rPr>
        <w:t>财政拨款支出总计4,960.31万元，</w:t>
      </w:r>
      <w:r>
        <w:rPr>
          <w:rFonts w:ascii="仿宋_GB2312" w:hAnsi="仿宋_GB2312" w:eastAsia="仿宋_GB2312"/>
          <w:b w:val="0"/>
          <w:sz w:val="32"/>
        </w:rPr>
        <w:t>其中：年末财政拨款结转和结余0.00万元，本年财政拨款支出4,960.31万元。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减少1,913.37万元，下降27.84%，主要原因是：本年州直机关食堂补助、机关后勤服务保障等项目经费较上年减少。</w:t>
      </w:r>
      <w:r>
        <w:rPr>
          <w:rFonts w:ascii="仿宋_GB2312" w:hAnsi="仿宋_GB2312" w:eastAsia="仿宋_GB2312"/>
          <w:b/>
          <w:sz w:val="32"/>
        </w:rPr>
        <w:t>与年初预算相比，</w:t>
      </w:r>
      <w:r>
        <w:rPr>
          <w:rFonts w:ascii="仿宋_GB2312" w:hAnsi="仿宋_GB2312" w:eastAsia="仿宋_GB2312"/>
          <w:b w:val="0"/>
          <w:sz w:val="32"/>
        </w:rPr>
        <w:t>年初预算数3,845.51万元，决算数4,960.31万元，预决算差异率28.99%，主要原因是：年中追加州直机关食堂补助项目资金，导致预决算存在差异。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公共服务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政府办公厅（室）及相关机构事务（款）其他政府办公厅（室）及相关机构事务支出（项）的支出占本年财政拨款支出总额的比重最高，2025年度决算数为4,557.82万元，占比91.89%，主要用于机关后勤服务保障经费、州直机关食堂补助资金、州直单位办公用房维修经费等项目支出。</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2025年度一般公共预算财政拨款支出4,960.31万元，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减少1,913.37万元，下降27.84%，主要原因是：本年州直机关食堂补助项目、机关后勤服务保障等项目经费较上年减少。</w:t>
      </w:r>
      <w:r>
        <w:rPr>
          <w:rFonts w:ascii="仿宋_GB2312" w:hAnsi="仿宋_GB2312" w:eastAsia="仿宋_GB2312"/>
          <w:b/>
          <w:sz w:val="32"/>
        </w:rPr>
        <w:t>与年初预算相比，</w:t>
      </w:r>
      <w:r>
        <w:rPr>
          <w:rFonts w:ascii="仿宋_GB2312" w:hAnsi="仿宋_GB2312" w:eastAsia="仿宋_GB2312"/>
          <w:b w:val="0"/>
          <w:sz w:val="32"/>
        </w:rPr>
        <w:t>年初预算数3,845.51万元，决算数4,960.31万元，预决算差异率28.99%，主要原因是：年中追加州直机关食堂补助项目资金，导致预决算存在差异。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1.一般公共服务支出（类）4,831.23万元，占97.40%。</w:t>
      </w:r>
    </w:p>
    <w:p>
      <w:pPr>
        <w:spacing w:line="580" w:lineRule="exact"/>
        <w:ind w:firstLine="640"/>
        <w:jc w:val="both"/>
      </w:pPr>
      <w:r>
        <w:rPr>
          <w:rFonts w:ascii="仿宋_GB2312" w:hAnsi="仿宋_GB2312" w:eastAsia="仿宋_GB2312"/>
          <w:b w:val="0"/>
          <w:sz w:val="32"/>
        </w:rPr>
        <w:t>2.社会保障和就业支出（类）78.85万元，占1.59%。</w:t>
      </w:r>
    </w:p>
    <w:p>
      <w:pPr>
        <w:spacing w:line="580" w:lineRule="exact"/>
        <w:ind w:firstLine="640"/>
        <w:jc w:val="both"/>
      </w:pPr>
      <w:r>
        <w:rPr>
          <w:rFonts w:ascii="仿宋_GB2312" w:hAnsi="仿宋_GB2312" w:eastAsia="仿宋_GB2312"/>
          <w:b w:val="0"/>
          <w:sz w:val="32"/>
        </w:rPr>
        <w:t>3.卫生健康支出（类）26.31万元，占0.53%。</w:t>
      </w:r>
    </w:p>
    <w:p>
      <w:pPr>
        <w:spacing w:line="580" w:lineRule="exact"/>
        <w:ind w:firstLine="640"/>
        <w:jc w:val="both"/>
      </w:pPr>
      <w:r>
        <w:rPr>
          <w:rFonts w:ascii="仿宋_GB2312" w:hAnsi="仿宋_GB2312" w:eastAsia="仿宋_GB2312"/>
          <w:b w:val="0"/>
          <w:sz w:val="32"/>
        </w:rPr>
        <w:t>4.住房保障支出（类）23.92万元，占0.48%。</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政府办公厅（室）及相关机构事务（款）事业运行（项）：支出决算数为273.40万元，比上年决算增加23.60万元，增长9.45%，主要原因是：本年新增在职人员，人员经费增加，导致经费较上年有所增加。</w:t>
      </w:r>
    </w:p>
    <w:p>
      <w:pPr>
        <w:spacing w:line="580" w:lineRule="exact"/>
        <w:ind w:firstLine="640"/>
        <w:jc w:val="both"/>
      </w:pPr>
      <w:r>
        <w:rPr>
          <w:rFonts w:ascii="仿宋_GB2312" w:hAnsi="仿宋_GB2312" w:eastAsia="仿宋_GB2312"/>
          <w:b w:val="0"/>
          <w:sz w:val="32"/>
        </w:rPr>
        <w:t>2.一般公共服务支出（类）政府办公厅（室）及相关机构事务（款）其他政府办公厅（室）及相关机构事务支出（项）：支出决算数为4,557.82万元，比上年决算减少1,962.53万元，下降30.10%，主要原因是：本年州直机关食堂补助项目、机关后勤服务保障等项目经费较上年减少。</w:t>
      </w:r>
    </w:p>
    <w:p>
      <w:pPr>
        <w:spacing w:line="580" w:lineRule="exact"/>
        <w:ind w:firstLine="640"/>
        <w:jc w:val="both"/>
      </w:pPr>
      <w:r>
        <w:rPr>
          <w:rFonts w:ascii="仿宋_GB2312" w:hAnsi="仿宋_GB2312" w:eastAsia="仿宋_GB2312"/>
          <w:b w:val="0"/>
          <w:sz w:val="32"/>
        </w:rPr>
        <w:t>3.社会保障和就业支出（类）行政事业单位养老支出（款）事业单位离退休（项）：支出决算数为27.82万元，比上年决算增加8.30万元，增长42.52%，主要原因是：本年增加退休人员基础绩效奖，退休费支出增加。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基本养老保险缴费支出（项）：支出决算数为29.34万元，比上年决算增加0.83万元，增长2.91%，主要原因是：本年在职人员增加，养老保险缴费较上年增加。</w:t>
      </w:r>
    </w:p>
    <w:p>
      <w:pPr>
        <w:spacing w:line="580" w:lineRule="exact"/>
        <w:ind w:firstLine="640"/>
        <w:jc w:val="both"/>
      </w:pPr>
      <w:r>
        <w:rPr>
          <w:rFonts w:ascii="仿宋_GB2312" w:hAnsi="仿宋_GB2312" w:eastAsia="仿宋_GB2312"/>
          <w:b w:val="0"/>
          <w:sz w:val="32"/>
        </w:rPr>
        <w:t>5.社会保障和就业支出（类）行政事业单位养老支出（款）机关事业单位职业年金缴费支出（项）：支出决算数为21.69万元，比上年决算增加1.08万元，增长5.24%，主要原因是：本年新增在职人员，职业年金缴费支出增加。</w:t>
      </w:r>
    </w:p>
    <w:p>
      <w:pPr>
        <w:spacing w:line="580" w:lineRule="exact"/>
        <w:ind w:firstLine="640"/>
        <w:jc w:val="both"/>
      </w:pPr>
      <w:r>
        <w:rPr>
          <w:rFonts w:ascii="仿宋_GB2312" w:hAnsi="仿宋_GB2312" w:eastAsia="仿宋_GB2312"/>
          <w:b w:val="0"/>
          <w:sz w:val="32"/>
        </w:rPr>
        <w:t>6.卫生健康支出（类）行政事业单位医疗（款）行政单位医疗（项）：支出决算数为15.93万元，比上年决算增加14.05万元，增长747.34%，主要原因是：本年在职人员增加，行政单位医疗支出较上年增加。</w:t>
      </w:r>
    </w:p>
    <w:p>
      <w:pPr>
        <w:spacing w:line="580" w:lineRule="exact"/>
        <w:ind w:firstLine="640"/>
        <w:jc w:val="both"/>
      </w:pPr>
      <w:r>
        <w:rPr>
          <w:rFonts w:ascii="仿宋_GB2312" w:hAnsi="仿宋_GB2312" w:eastAsia="仿宋_GB2312"/>
          <w:b w:val="0"/>
          <w:sz w:val="32"/>
        </w:rPr>
        <w:t>7.卫生健康支出（类）行政事业单位医疗（款）事业单位医疗（项）：支出决算数为2.37万元，比上年决算减少6.57万元，下降73.49%，主要原因是：本年在职人员调入调出，人员职级不同，缴费基数不同，导致事业单位医疗支出较上年减少。</w:t>
      </w:r>
    </w:p>
    <w:p>
      <w:pPr>
        <w:spacing w:line="580" w:lineRule="exact"/>
        <w:ind w:firstLine="640"/>
        <w:jc w:val="both"/>
      </w:pPr>
      <w:r>
        <w:rPr>
          <w:rFonts w:ascii="仿宋_GB2312" w:hAnsi="仿宋_GB2312" w:eastAsia="仿宋_GB2312"/>
          <w:b w:val="0"/>
          <w:sz w:val="32"/>
        </w:rPr>
        <w:t>8.卫生健康支出（类）行政事业单位医疗（款）公务员医疗补助（项）：支出决算数为7.71万元，比上年决算增加6.82万元，增长766.29%，主要原因是：本年在职人员增加，公务员医疗补助较上年增加。</w:t>
      </w:r>
    </w:p>
    <w:p>
      <w:pPr>
        <w:spacing w:line="580" w:lineRule="exact"/>
        <w:ind w:firstLine="640"/>
        <w:jc w:val="both"/>
      </w:pPr>
      <w:r>
        <w:rPr>
          <w:rFonts w:ascii="仿宋_GB2312" w:hAnsi="仿宋_GB2312" w:eastAsia="仿宋_GB2312"/>
          <w:b w:val="0"/>
          <w:sz w:val="32"/>
        </w:rPr>
        <w:t>9.卫生健康支出（类）行政事业单位医疗（款）其他行政事业单位医疗支出（项）：支出决算数为0.30万元，比上年决算增加0.02万元，增长7.14%，主要原因是：本年在职人员增加，大病医疗保险支出较上年增加。</w:t>
      </w:r>
    </w:p>
    <w:p>
      <w:pPr>
        <w:spacing w:line="580" w:lineRule="exact"/>
        <w:ind w:firstLine="640"/>
        <w:jc w:val="both"/>
      </w:pPr>
      <w:r>
        <w:rPr>
          <w:rFonts w:ascii="仿宋_GB2312" w:hAnsi="仿宋_GB2312" w:eastAsia="仿宋_GB2312"/>
          <w:b w:val="0"/>
          <w:sz w:val="32"/>
        </w:rPr>
        <w:t>10.住房保障支出（类）住房改革支出（款）住房公积金（项）：支出决算数为23.92万元，比上年决算增加1.03万元，增长4.50%，主要原因是：本年在职人员增加，住房公积金支出较上年增加。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2025年度一般公共预算财政拨款基本支出402.49万元，其中：</w:t>
      </w:r>
      <w:r>
        <w:rPr>
          <w:rFonts w:ascii="仿宋_GB2312" w:hAnsi="仿宋_GB2312" w:eastAsia="仿宋_GB2312"/>
          <w:b/>
          <w:sz w:val="32"/>
        </w:rPr>
        <w:t>人员经费371.77万元，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奖励金。</w:t>
      </w:r>
    </w:p>
    <w:p>
      <w:pPr>
        <w:spacing w:line="580" w:lineRule="exact"/>
        <w:ind w:firstLine="640"/>
        <w:jc w:val="both"/>
      </w:pPr>
      <w:r>
        <w:rPr>
          <w:rFonts w:ascii="仿宋_GB2312" w:hAnsi="仿宋_GB2312" w:eastAsia="仿宋_GB2312"/>
          <w:b/>
          <w:sz w:val="32"/>
        </w:rPr>
        <w:t>公用经费30.72万元，</w:t>
      </w:r>
      <w:r>
        <w:rPr>
          <w:rFonts w:ascii="仿宋_GB2312" w:hAnsi="仿宋_GB2312" w:eastAsia="仿宋_GB2312"/>
          <w:b w:val="0"/>
          <w:sz w:val="32"/>
        </w:rPr>
        <w:t>包括：办公费、印刷费、邮电费、取暖费、差旅费、工会经费、福利费、公务用车运行维护费、其他商品和服务支出。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2025年度财政拨款“三公”经费支出6.30万元，</w:t>
      </w:r>
      <w:r>
        <w:rPr>
          <w:rFonts w:ascii="仿宋_GB2312" w:hAnsi="仿宋_GB2312" w:eastAsia="仿宋_GB2312"/>
          <w:b w:val="0"/>
          <w:sz w:val="32"/>
        </w:rPr>
        <w:t>比上年增加0.00万元，增长0.00%，主要原因是：本单位财政拨款“三公”经费与上年一致无变化。</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公务用车购置及运行维护费支出6.30万元，占100.00%，比上年增加0.00万元，增长0.00%，主要原因是：本单位公务用车购置及运行维护费与上年一致无变化。</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6.30万元，其中：公务用车购置费0.00万元，公务用车运行维护费6.30万元。公务用车运行维护费开支内容包括车辆加油费、维修费、保险费、审车费、过路费等。公务用车购置数0辆，公务用车保有量4辆。国有资产占用情况中固定资产车辆4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6.30万元，决算数6.30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6.30万元，决算数6.30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2025年度昌吉回族自治州机关后勤服务中心（事业单位）公用经费支出30.72万元，比上年增加3.37万元，增长12.32%，主要原因是：本年增加办公费、其他商品和服务支出，导致公用经费增加。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2025年度政府采购支出总额1,756.56万元，其中：政府采购货物支出473.41万元、政府采购工程支出150.60万元、政府采购服务支出1,132.55万元。</w:t>
      </w:r>
    </w:p>
    <w:p>
      <w:pPr>
        <w:spacing w:line="580" w:lineRule="exact"/>
        <w:ind w:firstLine="640"/>
        <w:jc w:val="both"/>
      </w:pPr>
      <w:r>
        <w:rPr>
          <w:rFonts w:ascii="仿宋_GB2312" w:hAnsi="仿宋_GB2312" w:eastAsia="仿宋_GB2312"/>
          <w:b w:val="0"/>
          <w:sz w:val="32"/>
        </w:rPr>
        <w:t>授予中小企业合同金额1,756.56万元，占政府采购支出总额的100.00%，其中：授予小微企业合同金额1,756.56万元，占政府采购支出总额的100.00%。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1,884.00平方米，价值315.90万元。车辆4辆，价值81.29万元，其中：副部（省）级及以上领导用车0辆、主要负责人用车0辆、机要通信用车0辆、应急保障用车0辆、执法执勤用车0辆、特种专业技术用车0辆、离退休干部服务用车0辆、其他用车4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4,971.77万元，实际执行总额4,960.31万元；预算绩效评价项目4个，全年预算数4,471.34万元，全年执行数4,425.24万元。预算绩效管理取得的成效：一是会务接待工作方面。积极做好各类会议会务接待工作，会务服务实现零差错。二是机关食堂日常管理方面。打造温馨食堂，提升机关食堂服务保障水平。三是物业管理工作方面。为确保机关工作正常运行，每月组织专业人员对所管辖办公区域水、电、暖等公共设施进行全面检查维护，对检查中发现的问题，及时进行维修，本年完成日常水电暖等各类设施维修维护共计3500余次，处理应急时间及时率、维修率达到95%以上。四是认真开展安全生产大检查工作。2025年共计开展安全生产检查12次。一是重点对水、电、暖气、消防、燃气等开展常态化安全生产检查，存在的问题做到立查立改，详细检查管理台账，设备使用情况和警示标识的完好程度，确保党政机关办公安全。二是加强食堂安全管理。重点围绕食堂食材、燃气、仓储及作业安全，常态化开展检查，加强食品安全卫生监督，加强相关人员燃气安全知识培训，确保食品安全和用气安全。三是完善了责任制，责任细化到岗到人，在自检自查过程中发现问题不上报，对隐患整改不到位或因工作不力导致事故发生，由岗位责任人承担，并将此项工作纳入年度个人考核中。由此促使各科室负责安全生产的相关人员，深入到安全监督工作一线的每个环节查找安全隐患，及时分析处理各类故障，把安全生产存在的隐患消灭于萌芽状态。五是认真做好各类零星维修工程。完成了辖区各类维修改造工作，主要完成了政府办公区车库楼顶更换室外电缆、文化新区更换地下车库车牌识别系统并增加外围监控摄像头、州纪委监委机关办公楼维修卫生间墙面及木地板、州党委办公楼维修卫生间粉刷楼道、州党委办公楼及政务中心屋顶做防水维修、政务中心维修自来水总管道、文化新区维修消防主管道以及对辖区公共区域室内外地砖进行维修更换等各类日常零星维修80余项。发现的问题及原因：一是体系建立不够。部门内部对绩效管理工作重视程度不够，仅有的财务人员疲于应付日常工作，而与实际执行人员较少参与绩效管理，未建立起一体化运行机制人员配置不够充分。部门内部预算绩效职责不清，工作力量安排不到位，预算绩效工作都是财务科室独自完成项目的绩效申报、自评。预算绩效工作缺乏专业人员参与，缺少业务科室的协调配合，把本该有业务部门承担的绩效工作接了过来，简单地将绩效目标制定、跟踪监控等专业性工作归口于财务人员，没有专人承担绩效管理职责，业务管理与绩效管理脱节，弱化了实施预算绩效管理的最基本的环节。二是预算绩效目标设定不够全面。绩效管理不到位，对预算绩效评价审核不严，半数以上预算绩效目标存在填报内容不规范、不完整，个性指标设置不够细化、项目资金执行率较低；预算绩效管理基础数据库没有设立起来，相关的原始资料、信息的汇总、挑选、研究利用工作有待于提升。如部分绩效目标设置不完整。产出指标中，未对质量、成本等重要指标做出具体目标设置；自评不完善，部分预算单位绩效自评表虽设置了一二三级指标，但连最基本的标准分也未设置，同时未对一二三级指标进行自我评价；部分项目存在事前未进行项目评估、事中未执行绩效监控、项目完成后未进行绩效评价等绩效管理问题。项目支出的合理性甚至合规性未形成约束，评价体系、评价标准的不科学，使资金失去严格的监管而达不到资金最初的支出目的。下一步改进措施：一是建立健全预算绩效管理制度。加强预算绩效管理制度学习，明确职责，将业务先行，绩效监控的职能作用发挥出来，不断提升执行人员对于预算绩效的认识，将日常业务与绩效管理联系起来，完善制度体系，加强预算绩效管理应用。优化人员配置。财务与科室明确职责，抓实主体责任牛鼻子。按照“谁支出、谁负责”“谁审批、谁负责”的原则，明确资金使用科室是本单位绩效管理的“第一责任人”；各科室负责加强绩效目标和绩效自评结果的审核；财务负责组织和指导绩效管理，并对重点项目开展绩效监控和财政绩效评价。通过明确各相关科室和人员在预算绩效管理工作中的职责，实现层监督、提升绩效指标编制“针对性”。财务要指导各预算科室做好绩效指标的设计工作，重视重点评价工作，因地制宜地制定普遍适用的共性指标和适合本科室的个性指标，将绩效管理真正重视起来。各预算科室继续深化绩效申报及自评工作，在不同项目核心绩效指标的细化、量化上下功夫，做到各级预算指标均能全面、科学地评价本科室项目资金运用情况，从而提高预算资金支出的运行效率。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昌吉回族自治州机关后勤服务中心</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3,527.00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4,960.31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4,960.31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11.46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3,527.00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4,971.77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4,960.31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99.77%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9.98</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认真学习习近平总书记对机关事务工作的重要指示精神，以实际行动践行“两个维护”，深刻把握当前机关后勤保障工作面临的新形势新要求新任务，坚持勤俭办一切事业，全面谋划、科学安排好下一步工作，理清发展思路、谋实落实举措、找准工作抓手，不断开创机关后勤保障工作高质量发展新局面。计划完成机关行政办公区、领导干部周转房、水电保障、绿化、环境卫生、消防设施正常运行维保和维护、电梯、空调设备正常运行维保和维护、传媒大厦燃气供暖正常等工作，做好物业验收工作，物业验收合格率达到95%以上；做好行政办公区有关基本建设，以及建筑物、构筑物和公共设施的统一管理和维护；完成党政机关干部职工就餐工作安排；完成人才公寓庭院绿化、物业管理，管理运营住房；提高机关职工工作生活条件，长期提高机关职工健康生活质量程度。</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2025年我单位全年预算数为4971.77万元，全年执行数为4960.31万元，总预算执行率为99.77% 。2025年我单位完成以下工作内容：1.完成机关行政办公区、领导干部周转房、水电保障、绿化、环境卫生、消防设施正常运行维保和维护、电梯、空调设备正常运行维保和维护、传媒大厦燃气供暖正常等工作；2.完成行政办公区有关基本建设，以及建筑物、构筑物和公共设施的统一管理和维护； 3.完成党政机关干部职工就餐工作安排。通过以上工作的实施，在履行核心职责中实现了良好的社会效益，资源利用更趋集约化，服务响应速度显著提升，有效节约了行政成本。</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服务片区数量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2025年州机关后勤服务中心工作计划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服务单位数量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2025年州机关后勤服务中心工作计划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保障服务人数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&gt;=70人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2025年州机关后勤服务中心工作计划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全年办公楼维修项目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党政机关办公用房管理办法，2025年州机关后勤服务中心工作计划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人才公寓服务经费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昌吉回族自治州机关事务管理局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昌吉回族自治州机关后勤服务中心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394.54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97.18%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394.54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2025年州人才公寓运行经费项目计划406万元，根据昌州人才办字〔2020 4号关于印发《昌吉州人才公寓使用管理办法（试行）》的通知，为贯彻落实"人才强州"战略，营造更加暖心舒心的爱才留才环境，规范昌吉州人才公寓的使用管理，确保入住的高层次人才在公寓入住期间安心舒心，州机关后勤服务中心保障州人才公寓216套房屋基本运行，房屋租赁费用不超过318万元，服务内容主要包括保障管辖区内公共设施设备用电量正常；保障管辖区内上下水正常供给；公共管辖区内取暖正常；公共管辖区内绿化达到规定标准，保障运行经费不超过88万元；公共管辖区内具备专业的消防维护；保障公寓物业验收合格率达到90%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394.54万元，资金执行率97.18%，本项目实际完成216套房屋基本运行，完成服务单位2家，完成房屋租赁费318.3万元支付，完成保障运行经费76.24万元；完成公寓物业验收合格率达到99%；通过该项目实施，提升了服务保障效能，提升了职能履行和重点工作经费保障能力，促进了后勤工作稳定运行和良好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租赁房屋数量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=216套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=216套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216套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服务单位采购数量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此项指标已完成，存在偏差，偏差率为10.00%，偏差原因为：物业采取智能评价系统，服务保障稳步提升，评价较好；下一年度改进措施：提升绩效指标设定依据，不断加强绩效目标管理。</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房屋租金支付金额</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&lt;=318万元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物业及其他保障经费支付金额</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=76.54万元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72.34万元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此项指标未完成，存在偏差，偏差率为13.02%，偏差原因为：资金支出部分未按照计划推进；下一年度改进措施：加强预算支出计划推进，不断加强绩效进度管理。</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规范昌吉州人才公寓的使用管理，提高人才公寓后勤服务保障能力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入住人员满意度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105.56%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此项指标已完成，存在偏差，偏差率为5.56%，偏差原因为：后勤服务机关单位较多，采取抽样统计，涉及满意度评价指标较集中，评价较好；下一年度改进措施：提升绩效指标设定依据，不断加强绩效目标管理。</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州直机关食堂补助资金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昌吉回族自治州机关事务管理局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昌吉回族自治州机关后勤服务中心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1,591.69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1,454.34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1,454.34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1,591.69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1,454.34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1,454.34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规范州直机关食堂伙食补助资金管理，加强伙食补助资金管理，规范资金使用审批程序，提高资金使用效益。进一步提高后勤服务保障标准化、专业化、均衡化水平，州直伙食补助资金统一由州机关后勤服务中心根据州直单位实际在编人数拨付各单位，专户管理、专账核算。食堂补助经费单位大于等于45个；经费拨付次数大于等于2次；单位伙食补助拨款覆盖率100%，资金拨付完成时间不晚于2024年12月10日，人均补助资金标准小于等于22元每天；保障干部职工就餐需求，干部职工满意度大于等于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1454.34万元，资金执行率100%，本项目实际完成州直单位拨付数量45家，完成了全部州直45个单位伙食经费拨付工作，100%及时拨付资金，经费拨付2次，按照22元/人/天进行拨付，按照在编在岗实际拨付1454.34万元；通过该项目实施，加强职能履行和重点工作经费保障能力，提升了服务保障效能，促进了后勤工作稳定运行和良好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食堂补助经费单位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&gt;=45个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经费拨付次数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伙食补助覆盖率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拨付完成时限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=2025年12月2日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人均补助标准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&lt;=22元/人/天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=22元/人/天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22元/人/天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预算成本控制率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保障干部职工就餐需求</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干部职工满意度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105.56%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此项指标已完成，存在偏差，偏差率为5.56%，偏差原因为：满意度指标设定不够充分；下一年度改进措施：加强绩效目标设定，不断提升绩效管理，做好绩效监控。</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机关后勤服务保障经费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昌吉回族自治州机关事务管理局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昌吉回族自治州机关后勤服务中心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2,338.00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1,976.69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98.59%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2,338.00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1,976.69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我单位2025年总目标：尽职尽责积极完成州级机关“四套班子”办公楼、州政府综合办公楼和州政务中心大楼、文化新区大楼的内部环境卫生、庭院绿化、公用设施管理等工作及安保工作；完成管辖区内公共设施设备用电量正常，按时缴纳用电费用，及时收取非财政拨款单位用电费用交国库；2.保障管辖区内上下水正常供给，按时支付水费；完成公共管辖区内取暖正常，按照面积核算并支付取暖费用；完成公共管辖区内绿化达到规定标准，核定辖区内绿化面积并保障绿化服务正常，物业验收合格率不低于90%；完成公共管辖区内具备专业的消防维护，按照资质进行日常维护；完成服务片区不少于3个；完成服务保障不低于25人；其他需要保障服务事项，其中机关后勤服务运行经费不高于1673万元，机关后勤服务保障经费不高于665万元。</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1976.69万元，资金执行率98.59%，本项目实际完成物业验收合格率98%；完成后勤保障服务片区3个；完成服务保障25人；机关后勤服务运行经费1317.73万元，机关后勤服务保障经费658.96万元；通过该项目实施，提升了服务保障效能，提升了职能履行和重点工作经费保障能力，促进了后勤工作稳定运行和良好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服务片区数量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服务保障人数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尾款支付数量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108.89%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6.38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项指标已完成，存在偏差，偏差率为8.89%，偏差原因为：指标设定偏低，实际完成较好；下一年度改进措施：进一步根据实际情况提升指标设定，加强绩效目标管理</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机关后勤运行经费金额</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&lt;=1340万元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=1317.73万元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1438万元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此项指标不存在偏差。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机关后勤保障经费金额</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&lt;=665万元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=658.96万元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此项指标不存在偏差。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提升后勤服务保障能力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干部职工满意度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105.56%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此项指标已完成，存在偏差，偏差率为5.56%，偏差原因为：后勤服务机关单位较多，采取抽样统计，涉及满意度评价指标较集中，评价较好；下一年度改进措施：提升绩效指标设定依据，不断加强绩效目标管理。</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99.38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机关餐厅运行经费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昌吉回族自治州机关事务管理局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昌吉回族自治州机关后勤服务中心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599.67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98.96%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599.67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机关餐厅运行保障经费计划783万元，根据昌州财经办2019年3号文件、昌州财经办2020年65号文件执行机关餐厅运行费用，项目主要用于规范州直机关单位职工食堂运行管理，降低行政运行成本，制止机关食堂餐饮浪费，解决州直单位普遍反映的后勤资源分布不均、干部职工"就餐难"等问题。机关食堂运行采用副食品招标购买，服务单位不少于30家，水电燃气费按月购买，餐具厨具等根据实际需求进行配置或者更新，食堂工作人员采用管理人员属于机关后勤服务中心，服务员采用聘请劳务人员，服务人员不少于35人，推动食堂工作正常开展，经费支付及时率100%，在此基础上，副食品验收合格率100%项目预算控制率100%，坚持厉行节约原则。</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599.67万元，资金执行率98.96%，本项目实际完成服务单位数量30家，完成保障服务人数35人，完成全年副食品验收合格率100%，完成经费支付及时率100%，完成项目预算控制率100%，完成就餐干部职工满意95%；通过该项目实施，通过该项目实施，提升了服务保障效能，提升了职能履行和重点工作经费保障能力，促进了后勤工作稳定运行和良好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服务单位数量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保障服务人数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副食品验收合格率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项目预算控制率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=98.96%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98.96%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19.48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项指标已完成，存在偏差，偏差率为1.04%，偏差原因为：部分招标金额低于预算金额；下一年度改进措施：进一步根据实际情况提升指标设定，加强绩效目标管理</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解决后勤资源分布不均问题，降低单位行政运行成本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就餐干部职工满意度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105.56%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项指标已完成，存在偏差，偏差率为-5.56%，偏差原因为：后勤服务机关单位较多，采取抽样统计，涉及满意度评价指标较集中，评价较好；下一年度改进措施：提升绩效指标设定依据，不断加强绩效目标管理。</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99.48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