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昌吉回族自治州国有资产监督管理委员会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第一条根据自治区党委办公厅、自治区人民政府办公厅《关于印发&lt;昌吉回族自治州机构改革方案》的通知》(新党厅字[2019]7号)和自治州党委办公室、自治州人民政府办公室印发《关于&lt;昌吉回族自治州机构改革方案&gt;的实施意见》(昌州党办发[2019]1号)，制定本规定。</w:t>
      </w:r>
    </w:p>
    <w:p>
      <w:pPr>
        <w:spacing w:line="580" w:lineRule="exact"/>
        <w:ind w:firstLine="640"/>
        <w:jc w:val="both"/>
      </w:pPr>
      <w:r>
        <w:rPr>
          <w:rFonts w:ascii="仿宋_GB2312" w:hAnsi="仿宋_GB2312" w:eastAsia="仿宋_GB2312"/>
          <w:sz w:val="32"/>
        </w:rPr>
        <w:t>第二条昌吉回族自治州国有资产监督管理委员会(以下简称自治州国有资产监督管理委员会)是自治州人民政府直属特设机构，为正处级。</w:t>
      </w:r>
    </w:p>
    <w:p>
      <w:pPr>
        <w:spacing w:line="580" w:lineRule="exact"/>
        <w:ind w:firstLine="640"/>
        <w:jc w:val="both"/>
      </w:pPr>
      <w:r>
        <w:rPr>
          <w:rFonts w:ascii="仿宋_GB2312" w:hAnsi="仿宋_GB2312" w:eastAsia="仿宋_GB2312"/>
          <w:sz w:val="32"/>
        </w:rPr>
        <w:t>第三条自治州国有资产监督管理委员会贯彻落实党中央关于国有资产监督管理工作的方针政策和决策部署以及自治区、自治州党委工作要求，在履行职责过程中坚持和加强党对国有资产监督管理工作的集中统一领导。主要职责是。</w:t>
      </w:r>
    </w:p>
    <w:p>
      <w:pPr>
        <w:spacing w:line="580" w:lineRule="exact"/>
        <w:ind w:firstLine="640"/>
        <w:jc w:val="both"/>
      </w:pPr>
      <w:r>
        <w:rPr>
          <w:rFonts w:ascii="仿宋_GB2312" w:hAnsi="仿宋_GB2312" w:eastAsia="仿宋_GB2312"/>
          <w:sz w:val="32"/>
        </w:rPr>
        <w:t>(一)根据自治州人民政府授权，依照《中华人民共和国公司法》《中华人民共和国企业国有资产法》等法律、法规履行出资人职责，监管自治州直属企业的国有资产，加强国有资产管理，对各县(市)国有资产管理工作进行指导和监督。</w:t>
      </w:r>
    </w:p>
    <w:p>
      <w:pPr>
        <w:spacing w:line="580" w:lineRule="exact"/>
        <w:ind w:firstLine="640"/>
        <w:jc w:val="both"/>
      </w:pPr>
      <w:r>
        <w:rPr>
          <w:rFonts w:ascii="仿宋_GB2312" w:hAnsi="仿宋_GB2312" w:eastAsia="仿宋_GB2312"/>
          <w:sz w:val="32"/>
        </w:rPr>
        <w:t>(二)承担监督所监管企业国有资产保值增值的责任。建立和完善国有资产保值增值指标体系，拟订所监管企业领导任期经营目标、考核标准等，对监管企业国有资产保值增值情况进行监管；依法向自治州人民政府报告所监管企业国有资产监管运营情况。</w:t>
      </w:r>
    </w:p>
    <w:p>
      <w:pPr>
        <w:spacing w:line="580" w:lineRule="exact"/>
        <w:ind w:firstLine="640"/>
        <w:jc w:val="both"/>
      </w:pPr>
      <w:r>
        <w:rPr>
          <w:rFonts w:ascii="仿宋_GB2312" w:hAnsi="仿宋_GB2312" w:eastAsia="仿宋_GB2312"/>
          <w:sz w:val="32"/>
        </w:rPr>
        <w:t>(三)坚持和加强党的全面领导，履行所监管企业党建工作的日常管理职责。指导监管企业做好党的建设和全面从严治党工作；会同有关部门做好所监管企业领导班子管理和人才队伍建设工作；通过法定程序，按照干部管理权限对所监管企业领导人员进行考核、任免并根据其经营业绩进行奖惩，建立适应中国特色现代国有企业制度要求和市场竞争需要的选人用人机制，完善经营者激励和约束机制；协调指导所监管企业做好工会、青年、妇女和信访等工作。</w:t>
      </w:r>
    </w:p>
    <w:p>
      <w:pPr>
        <w:spacing w:line="580" w:lineRule="exact"/>
        <w:ind w:firstLine="640"/>
        <w:jc w:val="both"/>
      </w:pPr>
      <w:r>
        <w:rPr>
          <w:rFonts w:ascii="仿宋_GB2312" w:hAnsi="仿宋_GB2312" w:eastAsia="仿宋_GB2312"/>
          <w:sz w:val="32"/>
        </w:rPr>
        <w:t>(四)指导推进国有企业改革和重组，推进国有企业的现代企业制度建设，完善公司治理结构。组织实施改组(组建)国有资本投资、运营公司，指导企业开展国有资本投资运营；按照“政企分开、政资分开、政事分开”的要求，推进经营性国有资产集中统一监管；以管资本为主推动国有资本合理流动，加快国有经济布局优化、结构调整、战略性重组，会同有关部门协调中央企业和援疆省(市)国有企业产业援疆工作。</w:t>
      </w:r>
    </w:p>
    <w:p>
      <w:pPr>
        <w:spacing w:line="580" w:lineRule="exact"/>
        <w:ind w:firstLine="640"/>
        <w:jc w:val="both"/>
      </w:pPr>
      <w:r>
        <w:rPr>
          <w:rFonts w:ascii="仿宋_GB2312" w:hAnsi="仿宋_GB2312" w:eastAsia="仿宋_GB2312"/>
          <w:sz w:val="32"/>
        </w:rPr>
        <w:t>(五)负责所监管企业负责人经营业绩考核和薪酬管理，提出所监管企业负责人收入分配政策并组织实施和监督检查；完善所监管企业经营业绩考核制度，促进企业履行经济责任、政治责任、稳定责任、社会责任。</w:t>
      </w:r>
    </w:p>
    <w:p>
      <w:pPr>
        <w:spacing w:line="580" w:lineRule="exact"/>
        <w:ind w:firstLine="640"/>
        <w:jc w:val="both"/>
      </w:pPr>
      <w:r>
        <w:rPr>
          <w:rFonts w:ascii="仿宋_GB2312" w:hAnsi="仿宋_GB2312" w:eastAsia="仿宋_GB2312"/>
          <w:sz w:val="32"/>
        </w:rPr>
        <w:t>(六)负责组织所监管企业上交国有资本收益，参与制定国有资本经营预算有关管理制度和办法，承办所监管企业国有资本经营预决算编制和执行等工作。</w:t>
      </w:r>
    </w:p>
    <w:p>
      <w:pPr>
        <w:spacing w:line="580" w:lineRule="exact"/>
        <w:ind w:firstLine="640"/>
        <w:jc w:val="both"/>
      </w:pPr>
      <w:r>
        <w:rPr>
          <w:rFonts w:ascii="仿宋_GB2312" w:hAnsi="仿宋_GB2312" w:eastAsia="仿宋_GB2312"/>
          <w:sz w:val="32"/>
        </w:rPr>
        <w:t>(七)根据监管清单，审核所监管企业的发展战略和规划、重大项目投资、重大资产处置等事项；督促检查所监管企业贯彻落实国家安全生产、环境保护方针政策及有关法律法规、标准等工作。</w:t>
      </w:r>
    </w:p>
    <w:p>
      <w:pPr>
        <w:spacing w:line="580" w:lineRule="exact"/>
        <w:ind w:firstLine="640"/>
        <w:jc w:val="both"/>
      </w:pPr>
      <w:r>
        <w:rPr>
          <w:rFonts w:ascii="仿宋_GB2312" w:hAnsi="仿宋_GB2312" w:eastAsia="仿宋_GB2312"/>
          <w:sz w:val="32"/>
        </w:rPr>
        <w:t>(八)起草国有资产管理的地方性法规和政府规章草案，制定有关制度，指导所监管企业法律顾问和法治国企建设工作；负责企业国有资产基础管理工作，规范国有产权转让及交易行为；负责所监管企业违规经营投资责任追究工作，强化国有资产监督，防止国有资产流失；依法对县(市)人民政府、州本级管理的园区管理委员会企业国有资产监督管理工作进行指导和监督。</w:t>
      </w:r>
    </w:p>
    <w:p>
      <w:pPr>
        <w:spacing w:line="580" w:lineRule="exact"/>
        <w:ind w:firstLine="640"/>
        <w:jc w:val="both"/>
      </w:pPr>
      <w:r>
        <w:rPr>
          <w:rFonts w:ascii="仿宋_GB2312" w:hAnsi="仿宋_GB2312" w:eastAsia="仿宋_GB2312"/>
          <w:sz w:val="32"/>
        </w:rPr>
        <w:t>(九)完成自治州党委、自治州人民政府交办的其他任务。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昌吉回族自治州国有资产监督管理委员会无下属预算单位。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2025年度收入总计90,181.82万元，</w:t>
      </w:r>
      <w:r>
        <w:rPr>
          <w:rFonts w:ascii="仿宋_GB2312" w:hAnsi="仿宋_GB2312" w:eastAsia="仿宋_GB2312"/>
          <w:b w:val="0"/>
          <w:sz w:val="32"/>
        </w:rPr>
        <w:t>其中：本年收入合计90,181.82万元，使用非财政拨款结余（含专用结余）0.00万元，年初结转和结余0.00万元。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2025年度支出总计90,181.82万元，</w:t>
      </w:r>
      <w:r>
        <w:rPr>
          <w:rFonts w:ascii="仿宋_GB2312" w:hAnsi="仿宋_GB2312" w:eastAsia="仿宋_GB2312"/>
          <w:b w:val="0"/>
          <w:sz w:val="32"/>
        </w:rPr>
        <w:t>其中：本年支出合计90,181.79万元，结余分配0.00万元，年末结转和结余0.02万元。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72,168.16万元，增长400.63%，主要原因是：本年增加昌吉州国有资产投资经营集团有限公司解决历史遗留问题资金、2025年第二批州级预算内前期费项目、昌吉州东线供水工程专项资金、昌粮集团粮食仓储设施升级改造项目、昌粮集团昌吉国家粮食储备库粮食仓储及附属配套设施项目，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本年收入90,181.82万元，</w:t>
      </w:r>
      <w:r>
        <w:rPr>
          <w:rFonts w:ascii="仿宋_GB2312" w:hAnsi="仿宋_GB2312" w:eastAsia="仿宋_GB2312"/>
          <w:b w:val="0"/>
          <w:sz w:val="32"/>
        </w:rPr>
        <w:t>其中：财政拨款收入86,524.17万元，占95.94%；上级补助收入0.00万元，占0.00%；事业收入0.00万元，占0.00%；经营收入0.00万元，占0.00%；附属单位上缴收入0.00万元，占0.00%；其他收入3,657.65万元，占4.06%。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本年支出90,181.79万元，</w:t>
      </w:r>
      <w:r>
        <w:rPr>
          <w:rFonts w:ascii="仿宋_GB2312" w:hAnsi="仿宋_GB2312" w:eastAsia="仿宋_GB2312"/>
          <w:b w:val="0"/>
          <w:sz w:val="32"/>
        </w:rPr>
        <w:t>其中：基本支出580.50万元，占0.64%；项目支出89,601.29万元，占99.36%；上缴上级支出0.00万元，占0.00%；经营支出0.00万元，占0.00%；对附属单位补助支出0.00万元，占0.00%。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2025年度财政拨款收入总计86,524.17万元，</w:t>
      </w:r>
      <w:r>
        <w:rPr>
          <w:rFonts w:ascii="仿宋_GB2312" w:hAnsi="仿宋_GB2312" w:eastAsia="仿宋_GB2312"/>
          <w:b w:val="0"/>
          <w:sz w:val="32"/>
        </w:rPr>
        <w:t>其中：年初财政拨款结转和结余0.00万元，本年财政拨款收入86,524.17万元。</w:t>
      </w:r>
      <w:r>
        <w:rPr>
          <w:rFonts w:ascii="仿宋_GB2312" w:hAnsi="仿宋_GB2312" w:eastAsia="仿宋_GB2312"/>
          <w:b/>
          <w:sz w:val="32"/>
        </w:rPr>
        <w:t>财政拨款支出总计86,524.17万元，</w:t>
      </w:r>
      <w:r>
        <w:rPr>
          <w:rFonts w:ascii="仿宋_GB2312" w:hAnsi="仿宋_GB2312" w:eastAsia="仿宋_GB2312"/>
          <w:b w:val="0"/>
          <w:sz w:val="32"/>
        </w:rPr>
        <w:t>其中：年末财政拨款结转和结余0.00万元，本年财政拨款支出86,524.17万元。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68,510.56万元，增长380.33%，主要原因是：本年增加昌吉州国有资产投资经营集团有限公司解决历史遗留问题资金、2025年第二批州级预算内前期费项目、昌吉州东线供水工程专项资金、昌粮集团粮食仓储设施升级改造项目、昌粮集团昌吉国家粮食储备库粮食仓储及附属配套设施项目，导致经费支出增加。</w:t>
      </w:r>
      <w:r>
        <w:rPr>
          <w:rFonts w:ascii="仿宋_GB2312" w:hAnsi="仿宋_GB2312" w:eastAsia="仿宋_GB2312"/>
          <w:b/>
          <w:sz w:val="32"/>
        </w:rPr>
        <w:t>与年初预算相比，</w:t>
      </w:r>
      <w:r>
        <w:rPr>
          <w:rFonts w:ascii="仿宋_GB2312" w:hAnsi="仿宋_GB2312" w:eastAsia="仿宋_GB2312"/>
          <w:b w:val="0"/>
          <w:sz w:val="32"/>
        </w:rPr>
        <w:t>年初预算数594.25万元，决算数86,524.17万元，预决算差异率14,460.23%，主要原因是：年中追加昌吉州国有资产投资经营集团有限公司解决历史遗留问题资金、昌粮集团昌吉国家粮食储备库粮食仓储及附属配套设施项目、昌粮集团粮食仓储设施升级改造项目、昌吉州东线供水工程专项资金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等重点支出，体现在有关支出科目中。</w:t>
      </w:r>
    </w:p>
    <w:p>
      <w:pPr>
        <w:spacing w:line="580" w:lineRule="exact"/>
        <w:ind w:firstLine="640"/>
        <w:jc w:val="both"/>
      </w:pPr>
      <w:r>
        <w:rPr>
          <w:rFonts w:ascii="仿宋_GB2312" w:hAnsi="仿宋_GB2312" w:eastAsia="仿宋_GB2312"/>
          <w:b w:val="0"/>
          <w:sz w:val="32"/>
        </w:rPr>
        <w:t>按照支出功能分类，农林水支出（类）水利（款）水利工程建设（项）的支出占本年财政拨款支出总额的比重最高，2025年度决算数为80,000.00万元，占比92.46%，主要用于水投集团注册资本金项目。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2025年度一般公共预算财政拨款支出85,862.50万元，</w:t>
      </w:r>
      <w:r>
        <w:rPr>
          <w:rFonts w:ascii="仿宋_GB2312" w:hAnsi="仿宋_GB2312" w:eastAsia="仿宋_GB2312"/>
          <w:b w:val="0"/>
          <w:sz w:val="32"/>
        </w:rPr>
        <w:t>占本年支出合计的95.21%。</w:t>
      </w:r>
      <w:r>
        <w:rPr>
          <w:rFonts w:ascii="仿宋_GB2312" w:hAnsi="仿宋_GB2312" w:eastAsia="仿宋_GB2312"/>
          <w:b/>
          <w:sz w:val="32"/>
        </w:rPr>
        <w:t>与上年相比，</w:t>
      </w:r>
      <w:r>
        <w:rPr>
          <w:rFonts w:ascii="仿宋_GB2312" w:hAnsi="仿宋_GB2312" w:eastAsia="仿宋_GB2312"/>
          <w:b w:val="0"/>
          <w:sz w:val="32"/>
        </w:rPr>
        <w:t>增加85,171.07万元，增长12,318.10%，主要原因是：本年增加昌吉州国有资产投资经营集团有限公司解决历史遗留问题资金、2025年第二批州级预算内前期费项目、昌吉州东线供水工程专项资金、昌粮集团粮食仓储设施升级改造项目、昌粮集团昌吉国家粮食储备库粮食仓储及附属配套设施项目，导致经费支出增加。</w:t>
      </w:r>
      <w:r>
        <w:rPr>
          <w:rFonts w:ascii="仿宋_GB2312" w:hAnsi="仿宋_GB2312" w:eastAsia="仿宋_GB2312"/>
          <w:b/>
          <w:sz w:val="32"/>
        </w:rPr>
        <w:t>与年初预算相比，</w:t>
      </w:r>
      <w:r>
        <w:rPr>
          <w:rFonts w:ascii="仿宋_GB2312" w:hAnsi="仿宋_GB2312" w:eastAsia="仿宋_GB2312"/>
          <w:b w:val="0"/>
          <w:sz w:val="32"/>
        </w:rPr>
        <w:t>年初预算数594.25万元，决算数85,862.50万元，预决算差异率14,348.89%，主要原因是：年中追加昌吉州国有资产投资经营集团有限公司解决历史遗留问题资金、昌粮集团昌吉国家粮食储备库粮食仓储及附属配套设施项目、昌粮集团粮食仓储设施升级改造项目、昌吉州东线供水工程专项资金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1.一般公共服务支出（类）412.00万元，占0.48%。</w:t>
      </w:r>
    </w:p>
    <w:p>
      <w:pPr>
        <w:spacing w:line="580" w:lineRule="exact"/>
        <w:ind w:firstLine="640"/>
        <w:jc w:val="both"/>
      </w:pPr>
      <w:r>
        <w:rPr>
          <w:rFonts w:ascii="仿宋_GB2312" w:hAnsi="仿宋_GB2312" w:eastAsia="仿宋_GB2312"/>
          <w:b w:val="0"/>
          <w:sz w:val="32"/>
        </w:rPr>
        <w:t>2.社会保障和就业支出（类）93.05万元，占0.11%。</w:t>
      </w:r>
    </w:p>
    <w:p>
      <w:pPr>
        <w:spacing w:line="580" w:lineRule="exact"/>
        <w:ind w:firstLine="640"/>
        <w:jc w:val="both"/>
      </w:pPr>
      <w:r>
        <w:rPr>
          <w:rFonts w:ascii="仿宋_GB2312" w:hAnsi="仿宋_GB2312" w:eastAsia="仿宋_GB2312"/>
          <w:b w:val="0"/>
          <w:sz w:val="32"/>
        </w:rPr>
        <w:t>3.卫生健康支出（类）27.20万元，占0.03%。</w:t>
      </w:r>
    </w:p>
    <w:p>
      <w:pPr>
        <w:spacing w:line="580" w:lineRule="exact"/>
        <w:ind w:firstLine="640"/>
        <w:jc w:val="both"/>
      </w:pPr>
      <w:r>
        <w:rPr>
          <w:rFonts w:ascii="仿宋_GB2312" w:hAnsi="仿宋_GB2312" w:eastAsia="仿宋_GB2312"/>
          <w:b w:val="0"/>
          <w:sz w:val="32"/>
        </w:rPr>
        <w:t>4.农林水支出（类）80,000.00万元，占93.17%。</w:t>
      </w:r>
    </w:p>
    <w:p>
      <w:pPr>
        <w:spacing w:line="580" w:lineRule="exact"/>
        <w:ind w:firstLine="640"/>
        <w:jc w:val="both"/>
      </w:pPr>
      <w:r>
        <w:rPr>
          <w:rFonts w:ascii="仿宋_GB2312" w:hAnsi="仿宋_GB2312" w:eastAsia="仿宋_GB2312"/>
          <w:b w:val="0"/>
          <w:sz w:val="32"/>
        </w:rPr>
        <w:t>5.资源勘探工业信息等支出（类）4,188.03万元，占4.88%。</w:t>
      </w:r>
    </w:p>
    <w:p>
      <w:pPr>
        <w:spacing w:line="580" w:lineRule="exact"/>
        <w:ind w:firstLine="640"/>
        <w:jc w:val="both"/>
      </w:pPr>
      <w:r>
        <w:rPr>
          <w:rFonts w:ascii="仿宋_GB2312" w:hAnsi="仿宋_GB2312" w:eastAsia="仿宋_GB2312"/>
          <w:b w:val="0"/>
          <w:sz w:val="32"/>
        </w:rPr>
        <w:t>6.住房保障支出（类）34.20万元，占0.04%。</w:t>
      </w:r>
    </w:p>
    <w:p>
      <w:pPr>
        <w:spacing w:line="580" w:lineRule="exact"/>
        <w:ind w:firstLine="640"/>
        <w:jc w:val="both"/>
      </w:pPr>
      <w:r>
        <w:rPr>
          <w:rFonts w:ascii="仿宋_GB2312" w:hAnsi="仿宋_GB2312" w:eastAsia="仿宋_GB2312"/>
          <w:b w:val="0"/>
          <w:sz w:val="32"/>
        </w:rPr>
        <w:t>7.粮油物资储备支出（类）1,100.00万元，占1.28%。</w:t>
      </w:r>
    </w:p>
    <w:p>
      <w:pPr>
        <w:spacing w:line="580" w:lineRule="exact"/>
        <w:ind w:firstLine="640"/>
        <w:jc w:val="both"/>
      </w:pPr>
      <w:r>
        <w:rPr>
          <w:rFonts w:ascii="仿宋_GB2312" w:hAnsi="仿宋_GB2312" w:eastAsia="仿宋_GB2312"/>
          <w:b w:val="0"/>
          <w:sz w:val="32"/>
        </w:rPr>
        <w:t>8.其他支出（类）8.03万元，占0.009%。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发展与改革事务（款）其他发展与改革事务支出（项）：支出决算数为412.00万元，比上年决算增加412.00万元，增长100.00%，主要原因是：本年新增昌粮集团粮食仓储设施升级改造项目、昌粮集团昌吉国家粮食储备库粮食仓储及附属配套设施项目。</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9.93万元，比上年决算增加4.81万元，增长93.95%，主要原因是：一是本年增加退休人员基础绩效奖，退休费支出增加。二是本年退休人员增加，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43.15万元，比上年决算增加5.31万元，增长14.03%，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39.98万元，比上年决算增加1.74万元，增长4.55%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5.卫生健康支出（类）行政事业单位医疗（款）行政单位医疗（项）：支出决算数为16.19万元，比上年决算增加4.58万元，增长39.45%，主要原因是：本年在职人员工资基数调增，医疗缴费基数上涨，相应支出增加。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6.卫生健康支出（类）行政事业单位医疗（款）事业单位医疗（项）：支出决算数为9.46万元，比上年决算增加2.30万元，增长32.12%，主要原因是：本年在职人员工资基数调增，医疗缴费基数上涨，相应支出增加。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1.35万元，比上年决算增加0.11万元，增长8.87%，主要原因是：本年在职人员工资基数调增，公务员医疗补助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0.20万元，比上年决算增加0.03万元，增长17.65%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9.农林水支出（类）水利（款）水利工程建设（项）：支出决算数为80,000.00万元，比上年决算增加80,000.00万元，增长100.00%，主要原因是：本年增加昌吉州东线供水工程专项资金，导致经费支出增加。</w:t>
      </w:r>
    </w:p>
    <w:p>
      <w:pPr>
        <w:spacing w:line="580" w:lineRule="exact"/>
        <w:ind w:firstLine="640"/>
        <w:jc w:val="both"/>
      </w:pPr>
      <w:r>
        <w:rPr>
          <w:rFonts w:ascii="仿宋_GB2312" w:hAnsi="仿宋_GB2312" w:eastAsia="仿宋_GB2312"/>
          <w:b w:val="0"/>
          <w:sz w:val="32"/>
        </w:rPr>
        <w:t>10.资源勘探工业信息等支出（类）制造业（款）通信设备、计算机及其他电子设备制造业（项）：支出决算数为2.15万元，比上年决算增加2.15万元，增长100.00%，主要原因是：本年增加专项业务经费，导致经费支出增加。</w:t>
      </w:r>
    </w:p>
    <w:p>
      <w:pPr>
        <w:spacing w:line="580" w:lineRule="exact"/>
        <w:ind w:firstLine="640"/>
        <w:jc w:val="both"/>
      </w:pPr>
      <w:r>
        <w:rPr>
          <w:rFonts w:ascii="仿宋_GB2312" w:hAnsi="仿宋_GB2312" w:eastAsia="仿宋_GB2312"/>
          <w:b w:val="0"/>
          <w:sz w:val="32"/>
        </w:rPr>
        <w:t>11.资源勘探工业信息等支出（类）国有资产监管（款）行政运行（项）：支出决算数为423.03万元，比上年决算增加42.61万元，增长11.20%，主要原因是：本年在职人员工资调增，导致相关人员经费较上年有所增加。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12.资源勘探工业信息等支出（类）国有资产监管（款）一般行政管理事务（项）：支出决算数为3,762.85万元，比上年决算增加3,586.03万元，增长2,028.07%，主要原因是：本年增加昌吉州国有资产投资经营集团有限公司解决历史遗留问题资金、2025年第二批州级预算内前期费项目。</w:t>
      </w:r>
    </w:p>
    <w:p>
      <w:pPr>
        <w:spacing w:line="580" w:lineRule="exact"/>
        <w:ind w:firstLine="640"/>
        <w:jc w:val="both"/>
      </w:pPr>
      <w:r>
        <w:rPr>
          <w:rFonts w:ascii="仿宋_GB2312" w:hAnsi="仿宋_GB2312" w:eastAsia="仿宋_GB2312"/>
          <w:b w:val="0"/>
          <w:sz w:val="32"/>
        </w:rPr>
        <w:t>13.住房保障支出（类）住房改革支出（款）住房公积金（项）：支出决算数为34.20万元，比上年决算增加5.03万元，增长17.24%，主要原因是：本年在职人员工资基数调增，公积金缴费基数上涨，相应支出增加。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14.粮油物资储备支出（类）粮油储备（款）储备粮（油）库建设（项）：支出决算数为1,100.00万元，比上年决算增加1,100.00万元，增长100.00%，主要原因是：本年新增昌粮集团粮食仓储设施升级改造项目。</w:t>
      </w:r>
    </w:p>
    <w:p>
      <w:pPr>
        <w:spacing w:line="580" w:lineRule="exact"/>
        <w:ind w:firstLine="640"/>
        <w:jc w:val="both"/>
      </w:pPr>
      <w:r>
        <w:rPr>
          <w:rFonts w:ascii="仿宋_GB2312" w:hAnsi="仿宋_GB2312" w:eastAsia="仿宋_GB2312"/>
          <w:b w:val="0"/>
          <w:sz w:val="32"/>
        </w:rPr>
        <w:t>15.其他支出（类）其他支出（款）其他支出（项）：支出决算数为8.03万元，比上年决算增加4.39万元，增长120.60%，主要原因是：本年为民办实事工作经费较上年增加，导致经费支出增加。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2025年度一般公共预算财政拨款基本支出580.50万元，其中：</w:t>
      </w:r>
      <w:r>
        <w:rPr>
          <w:rFonts w:ascii="仿宋_GB2312" w:hAnsi="仿宋_GB2312" w:eastAsia="仿宋_GB2312"/>
          <w:b/>
          <w:sz w:val="32"/>
        </w:rPr>
        <w:t>人员经费513.85万元，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公用经费66.65万元，</w:t>
      </w:r>
      <w:r>
        <w:rPr>
          <w:rFonts w:ascii="仿宋_GB2312" w:hAnsi="仿宋_GB2312" w:eastAsia="仿宋_GB2312"/>
          <w:b w:val="0"/>
          <w:sz w:val="32"/>
        </w:rPr>
        <w:t>包括：办公费、印刷费、水费、电费、邮电费、取暖费、物业管理费、差旅费、维修（护）费、租赁费、培训费、劳务费、工会经费、福利费、公务用车运行维护费、其他交通费用、其他商品和服务支出。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2025年度政府性基金预算财政拨款收入总计593.00万元，</w:t>
      </w:r>
      <w:r>
        <w:rPr>
          <w:rFonts w:ascii="仿宋_GB2312" w:hAnsi="仿宋_GB2312" w:eastAsia="仿宋_GB2312"/>
          <w:b w:val="0"/>
          <w:sz w:val="32"/>
        </w:rPr>
        <w:t>其中：年初结转和结余0.00万元，本年收入593.00万元。</w:t>
      </w:r>
      <w:r>
        <w:rPr>
          <w:rFonts w:ascii="仿宋_GB2312" w:hAnsi="仿宋_GB2312" w:eastAsia="仿宋_GB2312"/>
          <w:b/>
          <w:sz w:val="32"/>
        </w:rPr>
        <w:t>政府性基金预算财政拨款支出总计593.00万元，</w:t>
      </w:r>
      <w:r>
        <w:rPr>
          <w:rFonts w:ascii="仿宋_GB2312" w:hAnsi="仿宋_GB2312" w:eastAsia="仿宋_GB2312"/>
          <w:b w:val="0"/>
          <w:sz w:val="32"/>
        </w:rPr>
        <w:t>其中：年末结转和结余0.00万元，本年支出593.00万元。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减少16,407.00万元，下降96.51%，主要原因是：本年减少地方政府债券转贷项目，导致经费支出减少。</w:t>
      </w:r>
      <w:r>
        <w:rPr>
          <w:rFonts w:ascii="仿宋_GB2312" w:hAnsi="仿宋_GB2312" w:eastAsia="仿宋_GB2312"/>
          <w:b/>
          <w:sz w:val="32"/>
        </w:rPr>
        <w:t>与年初预算相比，</w:t>
      </w:r>
      <w:r>
        <w:rPr>
          <w:rFonts w:ascii="仿宋_GB2312" w:hAnsi="仿宋_GB2312" w:eastAsia="仿宋_GB2312"/>
          <w:b w:val="0"/>
          <w:sz w:val="32"/>
        </w:rPr>
        <w:t>年初预算数0.00万元，决算数593.00万元，预决算差异率100.00%，主要原因是：年中追加特种油料精准适度加工示范基地数智化升级改造项目，导致预决算存在差异。</w:t>
      </w:r>
    </w:p>
    <w:p>
      <w:pPr>
        <w:spacing w:line="580" w:lineRule="exact"/>
        <w:ind w:firstLine="640"/>
        <w:jc w:val="both"/>
      </w:pPr>
      <w:r>
        <w:rPr>
          <w:rFonts w:ascii="仿宋_GB2312" w:hAnsi="仿宋_GB2312" w:eastAsia="仿宋_GB2312"/>
          <w:b w:val="0"/>
          <w:sz w:val="32"/>
        </w:rPr>
        <w:t>政府性基金预算财政拨款本年支出593.00万元。具体情况如下：</w:t>
      </w:r>
    </w:p>
    <w:p>
      <w:pPr>
        <w:spacing w:line="580" w:lineRule="exact"/>
        <w:ind w:firstLine="640"/>
        <w:jc w:val="both"/>
      </w:pPr>
      <w:r>
        <w:rPr>
          <w:rFonts w:ascii="仿宋_GB2312" w:hAnsi="仿宋_GB2312" w:eastAsia="仿宋_GB2312"/>
          <w:b w:val="0"/>
          <w:sz w:val="32"/>
        </w:rPr>
        <w:t>1.其他支出（类）其他政府性基金及对应专项债务收入安排的支出（款）其他地方自行试点项目收益专项债券收入安排的支出（项）：支出决算数为0.00万元，比上年决算减少17,000.00万元，下降100.00%，主要原因是：本年减少地方政府债券转贷项目。</w:t>
      </w:r>
    </w:p>
    <w:p>
      <w:pPr>
        <w:spacing w:line="580" w:lineRule="exact"/>
        <w:ind w:firstLine="640"/>
        <w:jc w:val="both"/>
      </w:pPr>
      <w:r>
        <w:rPr>
          <w:rFonts w:ascii="仿宋_GB2312" w:hAnsi="仿宋_GB2312" w:eastAsia="仿宋_GB2312"/>
          <w:b w:val="0"/>
          <w:sz w:val="32"/>
        </w:rPr>
        <w:t>2.其他支出（类）超长期特别国债安排的其他支出（款）其他支出（项）：支出决算数为593.00万元，比上年决算增加593.00万元，增长100.00%，主要原因是：本年增加特种油料精准适度加工示范基地数智化升级改造项目，导致经费支出增加。</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sz w:val="32"/>
        </w:rPr>
        <w:t>2025年度国有资本经营预算财政拨款收入总计68.67万元，</w:t>
      </w:r>
      <w:r>
        <w:rPr>
          <w:rFonts w:ascii="仿宋_GB2312" w:hAnsi="仿宋_GB2312" w:eastAsia="仿宋_GB2312"/>
          <w:b w:val="0"/>
          <w:sz w:val="32"/>
        </w:rPr>
        <w:t>其中：年初结转和结余0.00万元，本年收入68.67万元。</w:t>
      </w:r>
      <w:r>
        <w:rPr>
          <w:rFonts w:ascii="仿宋_GB2312" w:hAnsi="仿宋_GB2312" w:eastAsia="仿宋_GB2312"/>
          <w:b/>
          <w:sz w:val="32"/>
        </w:rPr>
        <w:t>国有资本经营预算财政拨款支出总计68.67万元，</w:t>
      </w:r>
      <w:r>
        <w:rPr>
          <w:rFonts w:ascii="仿宋_GB2312" w:hAnsi="仿宋_GB2312" w:eastAsia="仿宋_GB2312"/>
          <w:b w:val="0"/>
          <w:sz w:val="32"/>
        </w:rPr>
        <w:t>其中：年末结转和结余0.00万元，本年支出68.67万元。</w:t>
      </w:r>
    </w:p>
    <w:p>
      <w:pPr>
        <w:spacing w:line="580" w:lineRule="exact"/>
        <w:ind w:firstLine="640"/>
        <w:jc w:val="both"/>
      </w:pPr>
      <w:r>
        <w:rPr>
          <w:rFonts w:ascii="仿宋_GB2312" w:hAnsi="仿宋_GB2312" w:eastAsia="仿宋_GB2312"/>
          <w:b/>
          <w:sz w:val="32"/>
        </w:rPr>
        <w:t>国有资本经营预算财政拨款收入支出总体与上年相比，</w:t>
      </w:r>
      <w:r>
        <w:rPr>
          <w:rFonts w:ascii="仿宋_GB2312" w:hAnsi="仿宋_GB2312" w:eastAsia="仿宋_GB2312"/>
          <w:b w:val="0"/>
          <w:sz w:val="32"/>
        </w:rPr>
        <w:t>减少253.51万元，下降78.69%，主要原因是：本年减少国资国企在线监管平台项目、解决昌粮历史遗留问题项目。</w:t>
      </w:r>
      <w:r>
        <w:rPr>
          <w:rFonts w:ascii="仿宋_GB2312" w:hAnsi="仿宋_GB2312" w:eastAsia="仿宋_GB2312"/>
          <w:b/>
          <w:sz w:val="32"/>
        </w:rPr>
        <w:t>与年初预算相比，</w:t>
      </w:r>
      <w:r>
        <w:rPr>
          <w:rFonts w:ascii="仿宋_GB2312" w:hAnsi="仿宋_GB2312" w:eastAsia="仿宋_GB2312"/>
          <w:b w:val="0"/>
          <w:sz w:val="32"/>
        </w:rPr>
        <w:t>年初预算数0.00万元，决算数68.67万元，预决算差异率100.00%，主要原因是：年中追加园林宾馆注册资本金项目、昌吉州国资委监管企业外部董事薪酬项目。</w:t>
      </w:r>
    </w:p>
    <w:p>
      <w:pPr>
        <w:spacing w:line="580" w:lineRule="exact"/>
        <w:ind w:firstLine="640"/>
        <w:jc w:val="both"/>
      </w:pPr>
      <w:r>
        <w:rPr>
          <w:rFonts w:ascii="仿宋_GB2312" w:hAnsi="仿宋_GB2312" w:eastAsia="仿宋_GB2312"/>
          <w:sz w:val="32"/>
        </w:rPr>
        <w:t>国有资本经营预算财政拨款本年支出68.67万元。具体情况如下：</w:t>
      </w:r>
    </w:p>
    <w:p>
      <w:pPr>
        <w:spacing w:line="580" w:lineRule="exact"/>
        <w:ind w:firstLine="640"/>
        <w:jc w:val="both"/>
      </w:pPr>
      <w:r>
        <w:rPr>
          <w:rFonts w:ascii="仿宋_GB2312" w:hAnsi="仿宋_GB2312" w:eastAsia="仿宋_GB2312"/>
          <w:b w:val="0"/>
          <w:sz w:val="32"/>
        </w:rPr>
        <w:t>1.国有资本经营预算支出（类）解决历史遗留问题及改革成本支出（款）其他解决历史遗留问题及改革成本支出（项）：支出决算数为0.00万元，比上年决算减少266.50万元，下降100.00%，主要原因是：本年减少解决昌粮历史遗留问题项目。</w:t>
      </w:r>
    </w:p>
    <w:p>
      <w:pPr>
        <w:spacing w:line="580" w:lineRule="exact"/>
        <w:ind w:firstLine="640"/>
        <w:jc w:val="both"/>
      </w:pPr>
      <w:r>
        <w:rPr>
          <w:rFonts w:ascii="仿宋_GB2312" w:hAnsi="仿宋_GB2312" w:eastAsia="仿宋_GB2312"/>
          <w:b w:val="0"/>
          <w:sz w:val="32"/>
        </w:rPr>
        <w:t>2.国有资本经营预算支出（类）国有企业资本金注入（款）国有经济结构调整支出（项）：支出决算数为15.00万元，比上年决算增加15.00万元，增长100.00%，主要原因是：本年增加园林宾馆注册资本金项目。</w:t>
      </w:r>
    </w:p>
    <w:p>
      <w:pPr>
        <w:spacing w:line="580" w:lineRule="exact"/>
        <w:ind w:firstLine="640"/>
        <w:jc w:val="both"/>
      </w:pPr>
      <w:r>
        <w:rPr>
          <w:rFonts w:ascii="仿宋_GB2312" w:hAnsi="仿宋_GB2312" w:eastAsia="仿宋_GB2312"/>
          <w:b w:val="0"/>
          <w:sz w:val="32"/>
        </w:rPr>
        <w:t>3.国有资本经营预算支出（类）其他国有资本经营预算支出（款）其他国有资本经营预算支出（项）：支出决算数为53.67万元，比上年决算减少2.01万元，下降3.61%，主要原因是：本年减少解决昌粮历史遗留问题项目。</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2025年度财政拨款“三公”经费支出5.20万元，</w:t>
      </w:r>
      <w:r>
        <w:rPr>
          <w:rFonts w:ascii="仿宋_GB2312" w:hAnsi="仿宋_GB2312" w:eastAsia="仿宋_GB2312"/>
          <w:b w:val="0"/>
          <w:sz w:val="32"/>
        </w:rPr>
        <w:t>比上年减少0.07万元，下降1.33%，主要原因是：本年未安排公务接待工作，导致公务接待费较上年减少。</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公务用车购置及运行维护费支出5.20万元，占100.00%，比上年增加0.00万元，增长0.00%，主要原因是：本单位公务用车购置及运行维护费与上年一致无变化。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公务接待费支出0.00万元，占0.00%，比上年减少0.07万元，下降100.00%，主要原因是：本年严格执行中央八项规定，厉行节约，无公务接待费支出。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5.20万元，其中：公务用车购置费0.00万元，公务用车运行维护费5.20万元。公务用车运行维护费开支内容包括车辆加油费、维修费、保养费、过路费等。公务用车购置数0辆，公务用车保有量2辆。国有资产占用情况中固定资产车辆0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5.20万元，决算数5.20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5.20万元，决算数5.20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国有资产监督管理委员会（行政单位和参照公务员法管理事业单位）机关运行经费支出66.65万元，比上年增加27.37万元，增长69.68%，主要原因是：本年电费、邮电费、办公费、差旅费、劳务费等增加，导致机关运行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2025年度政府采购支出总额141.68万元，其中：政府采购货物支出7.55万元、政府采购工程支出0.00万元、政府采购服务支出134.13万元。</w:t>
      </w:r>
    </w:p>
    <w:p>
      <w:pPr>
        <w:spacing w:line="580" w:lineRule="exact"/>
        <w:ind w:firstLine="640"/>
        <w:jc w:val="both"/>
      </w:pPr>
      <w:r>
        <w:rPr>
          <w:rFonts w:ascii="仿宋_GB2312" w:hAnsi="仿宋_GB2312" w:eastAsia="仿宋_GB2312"/>
          <w:b w:val="0"/>
          <w:sz w:val="32"/>
        </w:rPr>
        <w:t>授予中小企业合同金额141.65万元，占政府采购支出总额的99.98%，其中：授予小微企业合同金额136.55万元，占政府采购支出总额的96.38%。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4,337.91平方米，价值1,492.48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90,181.28万元，实际执行总额90,181.26万元；预算绩效评价项目9个，全年预算数7,489.15万元，全年执行数7,489.15万元。预算绩效管理取得的成效：一是优化产业布局，积极推进国企战略性重组和专业化整合，聚焦资源配置优化、增强战略功能、规模协同提效，新组建成立数字天山大数据集团、储备粮管理公司、道路运输公司，推动国有资本向重要行业、关键领域和战略新兴产业集中。聚焦核心功能和核心竞争力，重构现代产业体系，争取中央预算、超长期国债资金，推进项目有序开工建设。二是现代企业制度稳步推进，在企业治理方面，实现审计委员会全覆盖，完善企业内部监督体系。在劳动分配制度改革方面，全面建立管理人员末等调整和不胜任退出机制。在考核激励方面，实施“一企一策”精准考核，新设企业增加值与附加任务指标，与负责人绩效薪酬全面挂钩。三是遗留问题加速推进，多措并举化解历史遗留问题，清收各县市债务、企业欠款等各类资金，盘活闲置资产。压减二三级法人企业，推动管理层级压缩与主业聚焦，实现了瘦身健体与提质增效的同步突破。四是提升监管效能，积极推进自治州企业国有资产监督管理条例立法工作，研究强化州属国有企业风险防范及投资决策管理流程，明确各层级权责边界，风险防范、监督质效更加规范。研究谋划国资监管大数据平台建设。建立健全内外部审计、巡视巡察闭环监督管理体系，有效形成内外监督合力。通过强化战略引领，指导企业聚焦主责主业培育新增长点，深化亏损治理，带动整体资产运营效率显著提升，为国企高质量发展奠定坚实基础。发现的问题及原因：一是绩效指标设置整体科学性不足，主要表现在个别指标设置未紧密贴合项目实际发展需求，适配性与针对性不强，难以精准匹配业务推进实际，简单量化的数量类指标占比偏高，反映项目实施质量、产出成效、社会效益的效益类、质量类指标占比偏低，导致现有绩效指标无法全方位、精准化考核项目推进质效与履职成果，难以发挥绩效考核引领工作落实、倒逼提质增效的指挥棒和导向作用，也不利于通过考核精准发现工作短板、优化工作布局。导致上述问题的原因是在指标设定时未充分了解项目的发展需求与核心重点，缺乏对项目实施质量、社会效益等深层价值的考量，过度侧重易量化、易统计的数量类指标，忽视了效益类、质量类指标的重要性。二是绩效评价结果应用不够充分，未能有效转化为提升管理效能的动力，主要表现在绩效评价结果未能真正融入业务全流程，多停留在“评价完成即结束”的层面，没有形成“评价—分析—改进—提升”的闭环管理，未能切实解决业务开展中的堵点、难点问题。导致上述问题的原因是部分业务人员绩效管理意识较为淡薄，对预算绩效管理工作的重要意义、核心要求认识不全面、不深入，普遍存在“重业务、轻绩效”“重执行、轻评价”的倾向，错误认为绩效评价是财务部门的专属工作，与自身业务开展关联不大，缺乏主动运用绩效评价结果反思工作、改进流程的自觉性，甚至对绩效评价反馈的问题敷衍了事，未能主动落实整改责任。下一步改进措施：一是构建适配年度工作的科学化绩效指标体系，破解指标设置不科学问题。强化成本效益导向，紧密结合本年工作目标和项目实际，深入调研项目发展需求与核心重点，兼顾量化可操作性与深层价值考量，建立“投入-产出-效益-满意度”递进式绩效指标框架，细化各项指标设定标准。降低简单量化的数量类指标占比，提高反映项目实施质量、产出成效、社会效益的指标占比；项目申报前严格审核指标的合理性、关联性和可操作性，确保绩效指标与项目规模、政策目标、工作任务精准匹配，全方位、精准化反映本年工作成效，充分发挥绩效考核引领工作落实、倒逼提质增效的指挥棒和导向作用，助力通过考核精准发现工作短板、优化工作布局。二是强化绩效评价结果运用，破解结果应用不充分问题。建立健全本年绩效评价结果应用长效机制，打破“评价完成即结束”的壁垒，构建“评价—分析—改进—提升”的闭环管理，推动绩效评价结果融入业务全流程。同时加强业务与财务融合培训，重点讲解绩效相关核心业务，强化全员绩效管理意识，扭转“重业务、轻绩效”“重执行、轻评价”的倾向，纠正绩效评价是财务部门专属工作的错误认知，提升全员运用绩效评价结果反思工作、改进流程的自觉性。此外，推动干部考核与本年绩效目标编制质量、绩效监控成效、年度项目优化、项目资金分配等紧密挂钩，健全激励约束机制，压实整改责任，切实把预算绩效管理要求落到实处。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82,112.15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82,112.15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594.25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4,411.49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4,411.49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3,657.64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3,657.62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594.25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90,181.28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90,181.26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依据中共昌吉州委员会办公室 昌吉州人民政府办公室关于印发《自治州国有企业改革深化提升行动方案（2023-2025）》的通知（昌州党办发[2023]33号）及新疆维吾尔自治区实施《企业国有资产监督管理暂行条例》办法相关工作要求，2025年部门整体绩效目标如下：1.持续推动监管企业聚焦主业、做强主业，剥离企业因历史原因形成的低效无效资产。持续压缩管理层级、减少法人户数，加快“两非两资”清理退出。推进州国投集团能源产业发展，延伸风电、光伏产业链。积极提升交投集团路基路面专业分包一级资质，提高项目承接能力。调整优化昌粮集团粮食购销业务结构，扩大政策性收储或代收代储业务比例，增强主业稳定收益。加快投资建设昌吉州东线供水工程，统筹整合各县市水资源和水利资产。州文旅投集团重点整合州域内优质文旅资源，加快实施天山天池景区提档升级和S101百里丹霞旅游区智慧营销和综合运营项目，增强核心景区盈利能力。2.建立债务风险预警监测机制，对企业实施负债规模和资产负债率双重约束，“一企一策”设定管控目标。进一步梳理州直部门经营性资产，整合装入州本级国有企业，发挥好资产商业价值。3.修订监管企业经营业绩考核办法，优化调整效能指标计分模式，加大纵向对标赋分权重，引导企业加快提升经营效能。4.强化外部审计成果运用，积极构建外部监督联动机制，推动出资人监督和纪检、审计、社会监督等各类监督贯通协同，实现多种形式监督的有效衔接。加快内部审计力量、质量双提升。5.深化企业全员绩效考核，实现考核与绩效、晋升深度挂钩，推进企业中长期激励有序试点。加大市场化改革力度，推动“管理人员能上能下、员工能进能出，收入能增能减”制度化常态化。</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90181.82万元，全年执行数为90181.82万元，总预算执行率为100%。2025年我单位完成以下工作内容：1.优化产业布局，积极推进国企战略性重组和专业化整合，聚焦资源配置优化、增强战略功能、规模协同提效，新组建成立数字天山大数据集团、储备粮管理公司、道路运输公司，推动国有资本向重要行业、关键领域和战略新兴产业集中。聚焦核心功能和核心竞争力，重构现代产业体系，争取中央预算、超长期国债资金，推进项目有序开工建设。2.现代企业制度稳步推进，在企业治理方面，实现审计委员会全覆盖，完善企业内部监督体系。在劳动分配制度改革方面，全面建立管理人员末等调整和不胜任退出机制。在考核激励方面，实施“一企一策”精准考核，新设企业增加值与附加任务指标，与负责人绩效薪酬全面挂钩。3.遗留问题加速推进，多措并举化解历史遗留问题，清收各县市债务、企业欠款等各类资金，盘活闲置资产。压减二三级法人企业，推动管理层级压缩与主业聚焦，实现了瘦身健体与提质增效的同步突破。4.提升监管效能，积极推进自治州企业国有资产监督管理条例立法工作，研究强化州属国有企业风险防范及投资决策管理流程，明确各层级权责边界，风险防范、监督质效更加规范。5.研究谋划国资监管大数据平台建设。建立健全内外部审计、巡视巡察闭环监督管理体系，有效形成内外监督合力。通过强化战略引领，指导企业聚焦主责主业培育新增长点，深化亏损治理，带动整体资产运营效率显著提升，为国企高质量发展奠定坚实基础。</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开展监督审计工作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新疆维吾尔自治区实施《企业国有资产监督管理暂行条例》办法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开展州直部门资产装入工作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昌吉州第十六届人民政府第40次常务会议纪要（昌州政阅[2024]10号）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开展“两非两资”清理工作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中共昌吉州委员会办公室 昌吉州人民政府办公室关于印发《自治州国有企业改革深化提升行动方案（2023-2025）》的通知（昌州党办发[2023]33号）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修订经营业绩考核办法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中共中央办公厅 国务院办公厅关于加强和改进国有企业薪酬管理的意见（中办发[2024]80号）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开展监督管理工作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中共昌吉州委员会办公室 昌吉州人民政府办公室关于印发《自治州国有企业改革深化提升行动方案（2023-2025）》的通知（昌州党办发[2023]33号）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开展企业优化布局工作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中共昌吉州委员会办公室 昌吉州人民政府办公室关于印发《自治州国有企业改革深化提升行动方案（2023-2025）》的通知（昌州党办发[2023]33号）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2025年第二批州级预算内前期费项目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本项目2025年计划投入资金600万元，项目计划完成支付注册资本金1笔，支付标准为600万元/企，受益企业1家，支付及时率达到100%。通过项目的实施推进国有企业新能源项目加速发展，使受益企业满意度达到100%。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600万元，资金执行率100%，本项目实际完成支付注册资本金1笔，实现受益企业1家，资金支付及时率、准确率、受益企业满意度均为100%。通过本项目的实施，进一步推进了昌吉州范围内四个共享储能项目及配套汇集站的前期建设工作，既推进了国有企业新能源项目加速发展，也优化了昌吉州储能与新能源协同机制。为做大做强州本级国有企业新能源板块及昌吉州储能产业发展、提升电力系统调峰能力打下基础，同时，优化了储能与新能源协同机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支付注册资本金笔数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注册资本金标准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&lt;=600万元/家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推进国有企业新能源项目加速发展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专题培训班培训费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项目计划支出29.15万元，开展1期昌吉州“深化国资国企改革 提升数字化转型与智慧运营能力”专题研讨班，培训人数41人，培训天数10天，培训监管企业覆盖率达到100%，出勤率达到100%。通过项目的实施达到提升国资国企干部理论素养、业务能力的目的。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截至2025年12月31日，本项目支出资金29.15万元，资金执行率100%，本项目实际完成昌吉州“深化国资国企改革 提升数字化转型与智慧运营能力”专题培训1场，培训人次41人，培训天数10天（上海授课9天、州党校述学1天），培训监管企业覆盖率达到100%，参训学员出勤率100%，2025年6月27日结束培训，培训经费共计29.15万元，参训人员满意度90%。通过本项目的实施，参训学员汲取了先进企业在数字化转型、产业运营及资本运作方面的成功经验，形成了可复制、可推广的实践样本，有效提升了国资国企干部综合素养，也为昌吉州国资国企改革发展提供了有力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培训监管企业覆盖率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培训结束时间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2024年8月8日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昌吉市培训经费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上海市培训经费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提升国资国企干部综合素养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园林宾馆注册资本金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按照15万元/企的标准于2025年11月30日前向1家监管企业拨付注册资本金1笔，通过注册资本金的拨付，提升企业服务水平，确保该受益企业保值增值率达到100%，使受益企业满意度达到100%。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万元，资金执行率100%，本项目实际完成支付注册资本金1笔，实现受益企业1家，资金拨付及时，受益企业保值增值率、受益企业满意度均为100%。通过本项目的实施，增强了国有企业资本实力、优化了国有企业资本结构，引导企业聚焦主责主业，有效提升了酒店品牌知名度、市场影响力及服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拨付注册资本金笔数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&gt;=1笔</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拨付注册资本金企业数量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受益企业保值增值率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注册资本金拨付时间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注册资本金拨付标准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提升企业服务水平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国有企业党员教育培训费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7期国有企业党员教育培训班，培训覆盖党组织关系隶属企业18家；开展1期国资国企交往交流交融活动，活动天数7天、出勤率100%、参加人员满意度达95%以上；运行维护党建平台1个，企业使用数量达到4家、安全等级达标率达到100%。通过项目的实施达到远程管理、规范党组织运行，提升国资系统党员干部党性修养的目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28.8万元，资金执行率100%，本项目实际完成运行维护党建系统平台1个、平台覆盖企业4家、平台安全等级测评率100%，举办培训班7期、培训党组织关系隶属企业覆盖率达到100%，开展三交活动1期、为期7天、出勤率100%、活动人员满意度达到100%。通过本项目的实施，帮助国有企业广大干部开展好理论学习、党性锻炼和业务提升，传承了红色基因，推动了党建工作各项重点任务落地见效，也发挥了党建系统远程管理作用，切实提高了企业党建信息资源共享力度，确保了党组织运行规范高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应用系统平台数量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平台覆盖企业数量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开展三交活动天数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平台安全等级测评率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党组织关系隶属企业培训覆盖率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三交活动出勤率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平台运行维护费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三交活动经费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发挥远程管理作用、规范党组织运行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远程规范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提升党性修养、传承红色基因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前期设定活动满意度指标是较为保守，与实际完成值产生偏差。下一年度改进措施：总结本次活动成功经验，结合实际情况合理设置满意度指标，保证活动质量持续提升。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昌吉州国有资产投资经营集团有限公司注册资本金（638.077284万元）</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按照638.07万元/企的标准于2025年12月30日前向1家监管企业拨付注册资本金1笔，通过注册资本金的拨付，提升企业综合实力得到提升，使受益企业满意度达到100%。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638.08万元，资金执行率100%，本项目实际完成支付注册资本金1笔，实现受益企业1家，资金支付时间为12月12日，支付及时率、受益企业满意度均为100%。通过本项目的实施保证了2025年S228、S239、S240线三条省道特许经营项目按计划推进，并大幅提升准东与木垒、奇台、吉木萨尔县之间的通行便捷水平，提升煤炭公路外运能力和道路运输安全水平。州国投集团通过与省级国有企业合作，进一步提高了州属国有企业的综合实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拨付注册资本金笔数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拨付注册资本金标准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&lt;=6380722.84元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=6380722.84元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提升企业综合实力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通过与升级国有企业合作，提高州交投集团综合实力。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昌吉州国有资产投资经营集团有限公司解决历史遗留问题项目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6000万元，项目计划完成支付注册资本金1笔，支付标准为6000万元/企，受益企业1家，支付及时率达到100%。通过项目的实施优化国投集团资本结构，提升企业抗风险能力，为企业持续健康发展奠定坚实财务基础，使受益企业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6000万元，资金执行率100%，本项目实际完成支付注册资本金1笔，实现受益企业1家，资金支付及时率、准确率、受益企业满意度均为100%。通过本项目的实施优化了国投集团资本结构，增强了企业偿债能力，提升了企业抗风险能力，为企业持续健康发展奠定了坚实的财务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支付注册资本金笔数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注册资本金标准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&lt;=6000万元/家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提升企业偿债能力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昌吉州国资委监管企业外部董事薪酬</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支出53.67万元，聘用任命外部董事8人，覆盖州本级4家监管企业，外部董事选聘合规性、考核覆盖率、薪酬支付及时率达到100%。通过该项目的实施深化国有企业改革，完善监管企业法人治理结构，进一步提升国有企业科学决策能力和治理效能。</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53.67万元，资金执行率100%，本项目实际完成4家监管企业外部董事共8人的选聘及任命工作，外部董事监管企业覆盖率达到100%，对2024年度任职的6名外部董事进行了考核，考核覆盖率为100%，定期对外部董事薪酬进行发放，发放及时率100%，国有企业满意度达100%。通过该项目的实施提升了国有企业的治理效能及科学决策能力，提高了国有企业、国有资产保值增值率，促进了企业健康发展，为昌吉州国资国企高质量发展做出了贡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外部董事覆盖州本级企业户数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履职外部董事人数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外部董事考核覆盖率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外部董事监管企业覆盖率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薪酬支付及时率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2025外部董事薪酬标准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&lt;=4万元/人/企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=4万元/人/企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2024外部董事考核清算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提升国有企业科学决策能力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国有企业满意度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维护微信公众号1个，定期对6家监管企业开展监督检查，监督检查覆盖率达100%，合规完成办公用品政府采购，租赁新能源公务用车1辆，采购办公设备1批，保障西部计划志愿者生活补助5个月，编外聘用人员社保经费缴纳率达到100%。通过项目的实施，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36.55万元，资金执行率100%，本项目实际完成运营微信公众号1个，对5家监管企业开展监督检查，租赁汽车1辆，购置办公设备1批，保障西部计划志愿者生活补助5个月，监督检查覆盖率达到100%，办公用品采购合规率达到100%，编外聘用人员社保经费缴纳率达到100%，经费支付及时率达到100%。通过本项目的实施，提高了国企系统干部职工法律法规政策知晓率，提升了国企改革新政策的传播效率，展示了国企发展的新动态与新风采，拓宽了国资国企政策法规的宣传渠道、扩大了覆盖面；切实提升了国资国企改革成效的宣传效果，监督了国有企业合法合规运营，及时发现了企业运营过程中存在的风险；保障了机关各项工作按时完成，提高了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维护微信公众号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对监管企业进行监督检查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保障西部计划志愿者生活补助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监督检查覆盖率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办公用品采购合规率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编外聘用人员社保经费缴纳率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微信公众号运行维护费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提高企业法律意识，监督企业合法合规经营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保障机关各项工作按时完成、提高工作效率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监督审计费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昌吉回族自治州国有资产监督管理委员会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聘请第三方中介对监管企业及其下属二级、三级子公司开展穿透式专项监督审计4次，监管企业专项审计次数不少于4次，州本级监管企业专项监督检查覆盖率达到100%，专项监督审计成本不超过87.9万元。通过该项目的实施及时发现企业经营中存在的问题和风险点，实现保障国有资产安全的目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87.9万元，资金执行率100%，本项目实际完成向4家监管企业开展专项审计4次，分别是：违规账务核销专项审计、安全生产责任履职监督、工程建设项目招投标专项审计、亏损企业专项审计，州本级监管企业专项监督审计覆盖率达到100%，按照政府采购及成本预算相关要求于2025年8月19日前完成了采购及合同签订，监管企业审计问题（立行立改）整改率达到90%，被审企业满意度达到80%。通过该项目的实施及时发现了国有企业经营过程中存在的问题和风险隐患，促进了监管企业合法合规经营，保障了国有资产安全，为昌吉州国资国企高质量发展做出了贡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专项监督审计次数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州本级监管企业专项监督审计覆盖率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专项监督审计采购完成时间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2024年8月22日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违规账务核销专项审计经费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安全生产责任履行监督经费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工程建设项目招投标专项审计经费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亏损企业专项审计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及时发现企业经营中存在的问题和风险点，保障国有资产安全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合法合规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审计问题（立行立改类）整改落实率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被审企业满意度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本年本单位其他项目7个，全年预算数82112.15万元，全年执行数82112.15万元。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