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昌吉回族自治州国土资源规划研究院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国土资源规划研究院受自治州人民政府的委托，承担土地利用，矿产资源总体规划和专项规划编制设计的研究工作；承担有关地籍测量和调查工作；承担国家、自治区、自治州批准建设用地项目的土地权属勘界工作；承担矿产资源地质勘查项目的设计审核、质量监理等工作。承办自治州人民政府和自治州自然资源局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昌吉回族自治州国土资源规划研究院无下属预算单位。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2025年度收入总计4,348.04万元，</w:t>
      </w:r>
      <w:r>
        <w:rPr>
          <w:rFonts w:ascii="仿宋_GB2312" w:hAnsi="仿宋_GB2312" w:eastAsia="仿宋_GB2312"/>
          <w:b w:val="0"/>
          <w:sz w:val="32"/>
        </w:rPr>
        <w:t>其中：本年收入合计4,348.04万元，使用非财政拨款结余（含专用结余）0.00万元，年初结转和结余0.00万元。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2025年度支出总计4,348.04万元，</w:t>
      </w:r>
      <w:r>
        <w:rPr>
          <w:rFonts w:ascii="仿宋_GB2312" w:hAnsi="仿宋_GB2312" w:eastAsia="仿宋_GB2312"/>
          <w:b w:val="0"/>
          <w:sz w:val="32"/>
        </w:rPr>
        <w:t>其中：本年支出合计3,225.18万元，结余分配1,122.86万元，年末结转和结余0.00万元。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增加1,516.05万元，增长53.53%，主要原因是：本年我单位承接了昌吉州各县市耕地保护考核奖惩基金及农用地管理清查等大项目，工作量及合同金额都较大，导致经费支出增加。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本年收入4,348.04万元，</w:t>
      </w:r>
      <w:r>
        <w:rPr>
          <w:rFonts w:ascii="仿宋_GB2312" w:hAnsi="仿宋_GB2312" w:eastAsia="仿宋_GB2312"/>
          <w:b w:val="0"/>
          <w:sz w:val="32"/>
        </w:rPr>
        <w:t>其中：财政拨款收入446.76万元，占10.27%；上级补助收入0.00万元，占0.00%；事业收入3,899.14万元，占89.68%；经营收入0.00万元，占0.00%；附属单位上缴收入0.00万元，占0.00%；其他收入2.14万元，占0.05%。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本年支出3,225.18万元，</w:t>
      </w:r>
      <w:r>
        <w:rPr>
          <w:rFonts w:ascii="仿宋_GB2312" w:hAnsi="仿宋_GB2312" w:eastAsia="仿宋_GB2312"/>
          <w:b w:val="0"/>
          <w:sz w:val="32"/>
        </w:rPr>
        <w:t>其中：基本支出1,593.46万元，占49.41%；项目支出1,631.72万元，占50.59%；上缴上级支出0.00万元，占0.00%；经营支出0.00万元，占0.00%；对附属单位补助支出0.00万元，占0.00%。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2025年度财政拨款收入总计446.76万元，</w:t>
      </w:r>
      <w:r>
        <w:rPr>
          <w:rFonts w:ascii="仿宋_GB2312" w:hAnsi="仿宋_GB2312" w:eastAsia="仿宋_GB2312"/>
          <w:b w:val="0"/>
          <w:sz w:val="32"/>
        </w:rPr>
        <w:t>其中：年初财政拨款结转和结余0.00万元，本年财政拨款收入446.76万元。</w:t>
      </w:r>
      <w:r>
        <w:rPr>
          <w:rFonts w:ascii="仿宋_GB2312" w:hAnsi="仿宋_GB2312" w:eastAsia="仿宋_GB2312"/>
          <w:b/>
          <w:sz w:val="32"/>
        </w:rPr>
        <w:t>财政拨款支出总计446.76万元，</w:t>
      </w:r>
      <w:r>
        <w:rPr>
          <w:rFonts w:ascii="仿宋_GB2312" w:hAnsi="仿宋_GB2312" w:eastAsia="仿宋_GB2312"/>
          <w:b w:val="0"/>
          <w:sz w:val="32"/>
        </w:rPr>
        <w:t>其中：年末财政拨款结转和结余0.00万元，本年财政拨款支出446.76万元。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减少19.27万元，下降4.13%，主要原因是：本年在职人员减少，相关人员经费较上年减少。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年初预算数414.13万元，决算数446.76万元，预决算差异率7.88%，主要原因是：年中追加人员工资、社保、公积金基数调增部分资金，导致预决算存在差异。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人员类基本支出等重点支出，体现在有关支出科目中。</w:t>
      </w:r>
    </w:p>
    <w:p>
      <w:pPr>
        <w:spacing w:line="580" w:lineRule="exact"/>
        <w:ind w:firstLine="640"/>
        <w:jc w:val="both"/>
      </w:pPr>
      <w:r>
        <w:rPr>
          <w:rFonts w:ascii="仿宋_GB2312" w:hAnsi="仿宋_GB2312" w:eastAsia="仿宋_GB2312"/>
          <w:b w:val="0"/>
          <w:sz w:val="32"/>
        </w:rPr>
        <w:t>按照支出功能分类，自然资源海洋气象等支出（类）自然资源事务（款）自然资源利用与保护（项）的支出占本年财政拨款支出总额的比重最高，2025年度决算数为270.69万元，占比60.59%，主要用于人员工资福利支出、福利费及独生子女奖励金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2025年度一般公共预算财政拨款支出446.76万元，</w:t>
      </w:r>
      <w:r>
        <w:rPr>
          <w:rFonts w:ascii="仿宋_GB2312" w:hAnsi="仿宋_GB2312" w:eastAsia="仿宋_GB2312"/>
          <w:b w:val="0"/>
          <w:sz w:val="32"/>
        </w:rPr>
        <w:t>占本年支出合计的13.85%。</w:t>
      </w:r>
      <w:r>
        <w:rPr>
          <w:rFonts w:ascii="仿宋_GB2312" w:hAnsi="仿宋_GB2312" w:eastAsia="仿宋_GB2312"/>
          <w:b/>
          <w:sz w:val="32"/>
        </w:rPr>
        <w:t>与上年相比，</w:t>
      </w:r>
      <w:r>
        <w:rPr>
          <w:rFonts w:ascii="仿宋_GB2312" w:hAnsi="仿宋_GB2312" w:eastAsia="仿宋_GB2312"/>
          <w:b w:val="0"/>
          <w:sz w:val="32"/>
        </w:rPr>
        <w:t>减少19.27万元，下降4.13%，主要原因是：本年在职人员减少，相关人员经费较上年减少。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年初预算数414.13万元，决算数446.76万元，预决算差异率7.88%，主要原因是：年中追加人员工资、社保、公积金基数调增部分资金，导致预决算存在差异。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1.社会保障和就业支出（类）100.45万元，占22.48%。</w:t>
      </w:r>
    </w:p>
    <w:p>
      <w:pPr>
        <w:spacing w:line="580" w:lineRule="exact"/>
        <w:ind w:firstLine="640"/>
        <w:jc w:val="both"/>
      </w:pPr>
      <w:r>
        <w:rPr>
          <w:rFonts w:ascii="仿宋_GB2312" w:hAnsi="仿宋_GB2312" w:eastAsia="仿宋_GB2312"/>
          <w:b w:val="0"/>
          <w:sz w:val="32"/>
        </w:rPr>
        <w:t>2.卫生健康支出（类）30.12万元，占6.74%。</w:t>
      </w:r>
    </w:p>
    <w:p>
      <w:pPr>
        <w:spacing w:line="580" w:lineRule="exact"/>
        <w:ind w:firstLine="640"/>
        <w:jc w:val="both"/>
      </w:pPr>
      <w:r>
        <w:rPr>
          <w:rFonts w:ascii="仿宋_GB2312" w:hAnsi="仿宋_GB2312" w:eastAsia="仿宋_GB2312"/>
          <w:b w:val="0"/>
          <w:sz w:val="32"/>
        </w:rPr>
        <w:t>3.自然资源海洋气象等支出（类）270.69万元，占60.59%。</w:t>
      </w:r>
    </w:p>
    <w:p>
      <w:pPr>
        <w:spacing w:line="580" w:lineRule="exact"/>
        <w:ind w:firstLine="640"/>
        <w:jc w:val="both"/>
      </w:pPr>
      <w:r>
        <w:rPr>
          <w:rFonts w:ascii="仿宋_GB2312" w:hAnsi="仿宋_GB2312" w:eastAsia="仿宋_GB2312"/>
          <w:b w:val="0"/>
          <w:sz w:val="32"/>
        </w:rPr>
        <w:t>4.住房保障支出（类）45.50万元，占10.18%。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1.社会保障和就业支出（类）行政事业单位养老支出（款）事业单位离退休（项）：支出决算数为16.18万元，比上年决算增加14.58万元，增长911.25%，主要原因是：本年增加退休人员基础绩效奖，退休费支出增加。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56.18万元，比上年决算减少5.96万元，下降9.59%，主要原因是：本年在职人员减少，单位基本养老保险缴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28.09万元，比上年决算减少2.98万元，下降9.59%，主要原因是：本年在职人员减少，职业年金缴费较上年减少。</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4.卫生健康支出（类）行政事业单位医疗（款）事业单位医疗（项）：支出决算数为28.09万元，比上年决算减少11.58万元，下降29.19%，主要原因是：本年在职人员减少，事业单位医疗支出较上年减少。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5.卫生健康支出（类）行政事业单位医疗（款）公务员医疗补助（项）：支出决算数为1.76万元，比上年决算减少0.18万元，下降9.28%，主要原因是：本年在职人员减少，公务员医疗补助较上年减少。</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0.28万元，比上年决算增加0.02万元，增长7.69%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7.自然资源海洋气象等支出（类）自然资源事务（款）自然资源利用与保护（项）：支出决算数为270.69万元，比上年决算减少9.02万元，下降3.22%，主要原因是：本年在职人员减少，工资福利支出较上年减少。</w:t>
      </w:r>
    </w:p>
    <w:p>
      <w:pPr>
        <w:spacing w:line="580" w:lineRule="exact"/>
        <w:ind w:firstLine="640"/>
        <w:jc w:val="both"/>
      </w:pPr>
      <w:r>
        <w:rPr>
          <w:rFonts w:ascii="仿宋_GB2312" w:hAnsi="仿宋_GB2312" w:eastAsia="仿宋_GB2312"/>
          <w:b w:val="0"/>
          <w:sz w:val="32"/>
        </w:rPr>
        <w:t>8.住房保障支出（类）住房改革支出（款）住房公积金（项）：支出决算数为45.50万元，比上年决算减少4.13万元，下降8.32%，主要原因是：本年在职人员减少，住房公积金缴费较上年减少。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2025年度一般公共预算财政拨款基本支出446.76万元，其中：</w:t>
      </w:r>
      <w:r>
        <w:rPr>
          <w:rFonts w:ascii="仿宋_GB2312" w:hAnsi="仿宋_GB2312" w:eastAsia="仿宋_GB2312"/>
          <w:b/>
          <w:sz w:val="32"/>
        </w:rPr>
        <w:t>人员经费439.05万元，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公用经费7.71万元，</w:t>
      </w:r>
      <w:r>
        <w:rPr>
          <w:rFonts w:ascii="仿宋_GB2312" w:hAnsi="仿宋_GB2312" w:eastAsia="仿宋_GB2312"/>
          <w:b w:val="0"/>
          <w:sz w:val="32"/>
        </w:rPr>
        <w:t>包括：培训费、福利费、其他商品和服务支出。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2辆，与公务用车保有量差异原因是：差异车辆为单位业务用车，预算未安排公务用车运行维护费。</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2025年度昌吉回族自治州国土资源规划研究院（事业单位）公用经费支出7.71万元，比上年减少0.07万元，下降0.90%，主要原因是：严控经费支出，厉行节约，减少经费支出。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2025年度政府采购支出总额181.02万元，其中：政府采购货物支出72.98万元、政府采购工程支出0.85万元、政府采购服务支出107.20万元。</w:t>
      </w:r>
    </w:p>
    <w:p>
      <w:pPr>
        <w:spacing w:line="580" w:lineRule="exact"/>
        <w:ind w:firstLine="640"/>
        <w:jc w:val="both"/>
      </w:pPr>
      <w:r>
        <w:rPr>
          <w:rFonts w:ascii="仿宋_GB2312" w:hAnsi="仿宋_GB2312" w:eastAsia="仿宋_GB2312"/>
          <w:b w:val="0"/>
          <w:sz w:val="32"/>
        </w:rPr>
        <w:t>授予中小企业合同金额181.02万元，占政府采购支出总额的100.00%，其中：授予小微企业合同金额181.02万元，占政府采购支出总额的100.00%。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2,597.66平方米，价值822.63万元。车辆2辆，价值87.03万元，其中：副部（省）级及以上领导用车0辆、主要负责人用车0辆、机要通信用车0辆、应急保障用车0辆、执法执勤用车0辆、特种专业技术用车0辆、离退休干部服务用车0辆、其他用车2辆，其他用车主要是：单位业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4,348.04万元，实际执行总额3,225.18万元；预算绩效评价项目1个，全年预算数1,690.60万元，全年执行数1,627.18万元。预算绩效管理取得的成效：一是对单位基本运转及单位职能履职起到监督和保障作用；二是总结经验做法，找出资金使用和管理中的薄弱环节，进一步加强预算管理，提高财政资金使用效益，为部门科学决策、规范管理提供参考。发现的问题及原因：一是绩效指标的明确性、可衡量性、相关性还需进一步提升；二是业务人员绩效管理意识有待增强，未能全面深入认识理解绩效管理工作的意义。绩效管理经验不足，预算绩效管理工作有待进一步落实。下一步改进措施：一是高度重视财政预决算工作，加强预算的约束力；二是加强内部管理，严格执行预算，坚持厉行节约，进一步降低财务支出。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昌吉回族自治州国土资源规划研究院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414.13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414.13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414.13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3,933.91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2,811.05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3,714.13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4,348.04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3,225.18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党的二十大精神为指导，贯彻落实科学发展观，团结全体职工、凝聚集体智慧，以市场为导向，以强化管理为基础，积极拓宽业务范围，努力提升服务水平，做好测绘服务、规划研究等技术服务工作，重点围绕年初设定的年度主要工作任务，按工作进度要求完成昌吉州土地勘测定界工作、土地报批工作、协助昌吉州各县市自然资源局做好技术服务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4348.04万元，全年执行数为3225.18万元，总预算执行率为74.18%，主要完成了以下工作：按工作进度要求完成了昌吉州土地勘测定界工作，土地类技术服务达到30次，测绘类服务达到60次，协助昌吉州各县市自然资源局顺利完成技术服务工作；按年初工作计划为测绘、勘测等技术工作提供保障购入专业设备，验收合格率为100%；本年度测绘成果抽检通过率、土地类成果评审通过率、园地定级与基准地价评估成果验收合格率均为100%。通过以上工作的实施，提高了项目的效益和质量，确保测绘质量符合标准和客户要求，引导企业资源的优化配置，提升企业的生产效率，确保企业的长期稳定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土地类技术服务次数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《中共昌吉回族自治州委员会机构编制委员会文件—昌州党编委【2023】34号、【2019】84号》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测绘类服务次数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《中共昌吉回族自治州委员会机构编制委员会文件—昌州党编委【2023】34号、【2019】84号》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专业设备检测验收合格率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《中共昌吉回族自治州委员会机构编制委员会文件—昌州党编委【2023】34号、【2019】84号》、《2025年度工作计划》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测绘成果抽检通过合格率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《中共昌吉回族自治州委员会机构编制委员会文件—昌州党编委【2023】34号、【2019】84号》、《2025年度工作计划》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园地定级与基准地价评估成果验收合格率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《中共昌吉回族自治州委员会机构编制委员会文件—昌州党编委【2023】34号、【2019】84号》、《2025年度工作计划》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土地类成果评审通过率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《中共昌吉回族自治州委员会机构编制委员会文件—昌州党编委【2023】34号、【2019】84号》、《2025年度工作计划》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昌吉回族自治州自然资源局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昌吉回族自治州国土资源规划研究院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1,773.65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1,627.18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1,773.65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1,627.18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确保单位日常运转，房屋构筑物供暖面积达到2641.36平方米，保障公务用车3辆。专业设备检测维修验收合格率、车辆检测维修验收合格率均达到100%。及时发放出差人员差旅费，确保单位设备物质及时采购、车辆正常运转，办公楼及内部设施维修维护，保障单位各项业务工作正常开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1627.18万元，资金执行率96.25%，该项目实际完成房屋构筑物供暖面积2614.36平方米，公务保障用车3辆，专业设备检测维修验收合格率100%，车辆检测维修验收合格率100%，政府采购验收合格率100%，经费支付及时率达到95%，完成了支付公车运行维护费19.07万元，差率费126.48万元，劳务费140万元，办公费、委托业务费等日常费用821.19万元。1-12月通过三方划扣缴纳增值税及附加税、印花税、企业所得税共计520.44万元。保障了我单位正常运转，提高了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房屋构筑物供暖面积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=2614.36平方米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=2614.36平方米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=2614.36平方米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公务保障用车数量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专业设备检测维修验收合格率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车辆检测维修验收合格率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公务用车运行维护费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54.49%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45.51%。偏差原因为：我单位下半年报废一辆公务用车，业务量减少，公车使用较少，导致实际支付金额未完全达到预算值。下一年改进措施：提高预算编制准确性，确保后续支出严格按照预算执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&lt;=138.03万元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8.37%，偏差原因为：我单位下半年业务量略微有所减少，出差次数减少，我单位厉行节俭，所以差旅费减少。下一年改进措施：总结本次经验，再编制下一年度绩效目标时提高准确性合严谨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办公费、委托业务费、劳务费等日常经费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&lt;=1377.57万元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=1371.93万元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此项指标已完成，存在偏差，偏差率为0.41%，偏差原因分析：各项目人员严格控制各项开支，导致实际支出较年初有结余，日常办公等费用均有所减少。下一年改进措施：不断提高预算编制的准确性合严谨性。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