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昌吉回族自治州供销社</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（一）宣传贯彻党中央、国务院、自治区和自治州党委、政府有关农村经济工作和社会发展的方针、政策，研究制定全州供销合作社合作经济的发展战略和发展规划，指导服务全州供销合作社系统的改革发展。</w:t>
      </w:r>
    </w:p>
    <w:p>
      <w:pPr>
        <w:spacing w:line="580" w:lineRule="exact"/>
        <w:ind w:firstLine="640"/>
        <w:jc w:val="both"/>
      </w:pPr>
      <w:r>
        <w:rPr>
          <w:rFonts w:ascii="仿宋_GB2312" w:hAnsi="仿宋_GB2312" w:eastAsia="仿宋_GB2312"/>
          <w:sz w:val="32"/>
        </w:rPr>
        <w:t>（二）承担政府和有关部门委托的任务，按照授权对重要农业生产资料、其他商品的经营、储备进行组织、协调和管理，承担政府向社会力量购买的公共服务。</w:t>
      </w:r>
    </w:p>
    <w:p>
      <w:pPr>
        <w:spacing w:line="580" w:lineRule="exact"/>
        <w:ind w:firstLine="640"/>
        <w:jc w:val="both"/>
      </w:pPr>
      <w:r>
        <w:rPr>
          <w:rFonts w:ascii="仿宋_GB2312" w:hAnsi="仿宋_GB2312" w:eastAsia="仿宋_GB2312"/>
          <w:sz w:val="32"/>
        </w:rPr>
        <w:t>（三）推进供销合作社法治建设，贯彻落实有关法律法规和政策。</w:t>
      </w:r>
    </w:p>
    <w:p>
      <w:pPr>
        <w:spacing w:line="580" w:lineRule="exact"/>
        <w:ind w:firstLine="640"/>
        <w:jc w:val="both"/>
      </w:pPr>
      <w:r>
        <w:rPr>
          <w:rFonts w:ascii="仿宋_GB2312" w:hAnsi="仿宋_GB2312" w:eastAsia="仿宋_GB2312"/>
          <w:sz w:val="32"/>
        </w:rPr>
        <w:t>（四）向自治州党委、政府和有关部门反映农民社员及各级供销合作社的意见与诉求，争取扶持政策，维护农民社员和各级供销合作社的合法权益。</w:t>
      </w:r>
    </w:p>
    <w:p>
      <w:pPr>
        <w:spacing w:line="580" w:lineRule="exact"/>
        <w:ind w:firstLine="640"/>
        <w:jc w:val="both"/>
      </w:pPr>
      <w:r>
        <w:rPr>
          <w:rFonts w:ascii="仿宋_GB2312" w:hAnsi="仿宋_GB2312" w:eastAsia="仿宋_GB2312"/>
          <w:sz w:val="32"/>
        </w:rPr>
        <w:t>（五）指导全州供销合作社构建联合社机关主导的行业指导体系和社有企业支撑的经营服务体系，形成社企分开、上下贯通、整体协调运转的双线运行机制。</w:t>
      </w:r>
    </w:p>
    <w:p>
      <w:pPr>
        <w:spacing w:line="580" w:lineRule="exact"/>
        <w:ind w:firstLine="640"/>
        <w:jc w:val="both"/>
      </w:pPr>
      <w:r>
        <w:rPr>
          <w:rFonts w:ascii="仿宋_GB2312" w:hAnsi="仿宋_GB2312" w:eastAsia="仿宋_GB2312"/>
          <w:sz w:val="32"/>
        </w:rPr>
        <w:t>（六）指导全州供销合作社的组织建设和制度建设，协调成员社关系，增强联合社的服务功能，完善基层社管理制度，发展农民合作社、综合服务社和消费、金融、土地托管等新型合作经济组织以及行业协会等社会团体，健全农村社会化服务体系，参与乡村治理，密切与农民的联系。</w:t>
      </w:r>
    </w:p>
    <w:p>
      <w:pPr>
        <w:spacing w:line="580" w:lineRule="exact"/>
        <w:ind w:firstLine="640"/>
        <w:jc w:val="both"/>
      </w:pPr>
      <w:r>
        <w:rPr>
          <w:rFonts w:ascii="仿宋_GB2312" w:hAnsi="仿宋_GB2312" w:eastAsia="仿宋_GB2312"/>
          <w:sz w:val="32"/>
        </w:rPr>
        <w:t>（七）指导全州供销合作社开展联合作，增强服务功能，拓展经营服务领域，创新农业生产服务方式和手段，推进县域现代流通服务网络建设，提升农产品流通服务水平，开展再生资源回收利用、农村合作金融、电子商务等业务，打造城乡社区综合服务平台，更好履行为农服务职责。</w:t>
      </w:r>
    </w:p>
    <w:p>
      <w:pPr>
        <w:spacing w:line="580" w:lineRule="exact"/>
        <w:ind w:firstLine="640"/>
        <w:jc w:val="both"/>
      </w:pPr>
      <w:r>
        <w:rPr>
          <w:rFonts w:ascii="仿宋_GB2312" w:hAnsi="仿宋_GB2312" w:eastAsia="仿宋_GB2312"/>
          <w:sz w:val="32"/>
        </w:rPr>
        <w:t>（八）指导全州供销合作社系统文化建设，提供信息服务，推进全州供销合作社信息化建设。</w:t>
      </w:r>
    </w:p>
    <w:p>
      <w:pPr>
        <w:spacing w:line="580" w:lineRule="exact"/>
        <w:ind w:firstLine="640"/>
        <w:jc w:val="both"/>
      </w:pPr>
      <w:r>
        <w:rPr>
          <w:rFonts w:ascii="仿宋_GB2312" w:hAnsi="仿宋_GB2312" w:eastAsia="仿宋_GB2312"/>
          <w:sz w:val="32"/>
        </w:rPr>
        <w:t>（九）监督、管理和运营社有资产，建立健全社有资产保值增值的考核激励和责任追究制度，依法履行出资人职责，享有出资人权益。</w:t>
      </w:r>
    </w:p>
    <w:p>
      <w:pPr>
        <w:spacing w:line="580" w:lineRule="exact"/>
        <w:ind w:firstLine="640"/>
        <w:jc w:val="both"/>
      </w:pPr>
      <w:r>
        <w:rPr>
          <w:rFonts w:ascii="仿宋_GB2312" w:hAnsi="仿宋_GB2312" w:eastAsia="仿宋_GB2312"/>
          <w:sz w:val="32"/>
        </w:rPr>
        <w:t>（十）加强本社对所属及有关行业和业务范围内的全州性社会团体的组织、服务、指导和监督，推动行业协会与联合社融合互补、协同发展。</w:t>
      </w:r>
    </w:p>
    <w:p>
      <w:pPr>
        <w:spacing w:line="580" w:lineRule="exact"/>
        <w:ind w:firstLine="640"/>
        <w:jc w:val="both"/>
      </w:pPr>
      <w:r>
        <w:rPr>
          <w:rFonts w:ascii="仿宋_GB2312" w:hAnsi="仿宋_GB2312" w:eastAsia="仿宋_GB2312"/>
          <w:sz w:val="32"/>
        </w:rPr>
        <w:t>（十一）代表全州合作经济组织参加上级供销合作社组织的活动，与相关经济组织、社会团体、科研教育机构和有关政府部门等开展经济、贸易、技术、人才交流合作，接受捐赠、资助。</w:t>
      </w:r>
    </w:p>
    <w:p>
      <w:pPr>
        <w:spacing w:line="580" w:lineRule="exact"/>
        <w:ind w:firstLine="640"/>
        <w:jc w:val="both"/>
      </w:pPr>
      <w:r>
        <w:rPr>
          <w:rFonts w:ascii="仿宋_GB2312" w:hAnsi="仿宋_GB2312" w:eastAsia="仿宋_GB2312"/>
          <w:sz w:val="32"/>
        </w:rPr>
        <w:t>（十二）承办自治州党委、人民政府、自治区供销合作社联合社交办的其他事项。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昌吉回族自治州供销社无下属预算单位。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2025年度收入总计610.12万元，</w:t>
      </w:r>
      <w:r>
        <w:rPr>
          <w:rFonts w:ascii="仿宋_GB2312" w:hAnsi="仿宋_GB2312" w:eastAsia="仿宋_GB2312"/>
          <w:b w:val="0"/>
          <w:sz w:val="32"/>
        </w:rPr>
        <w:t>其中：本年收入合计607.14万元，使用非财政拨款结余（含专用结余）0.00万元，年初结转和结余2.98万元。</w:t>
      </w:r>
    </w:p>
    <w:p>
      <w:pPr>
        <w:spacing w:line="580" w:lineRule="exact"/>
        <w:ind w:firstLine="640"/>
        <w:jc w:val="both"/>
      </w:pPr>
      <w:r>
        <w:rPr>
          <w:rFonts w:ascii="仿宋_GB2312" w:hAnsi="仿宋_GB2312" w:eastAsia="仿宋_GB2312"/>
          <w:b/>
          <w:sz w:val="32"/>
        </w:rPr>
        <w:t>2025年度支出总计610.12万元，</w:t>
      </w:r>
      <w:r>
        <w:rPr>
          <w:rFonts w:ascii="仿宋_GB2312" w:hAnsi="仿宋_GB2312" w:eastAsia="仿宋_GB2312"/>
          <w:b w:val="0"/>
          <w:sz w:val="32"/>
        </w:rPr>
        <w:t>其中：本年支出合计580.10万元，结余分配0.00万元，年末结转和结余30.02万元。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减少3.02万元，下降0.49%，主要原因是：本年援疆资金-外销平台建设经费较上年度减少。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本年收入607.14万元，</w:t>
      </w:r>
      <w:r>
        <w:rPr>
          <w:rFonts w:ascii="仿宋_GB2312" w:hAnsi="仿宋_GB2312" w:eastAsia="仿宋_GB2312"/>
          <w:b w:val="0"/>
          <w:sz w:val="32"/>
        </w:rPr>
        <w:t>其中：财政拨款收入546.52万元，占90.02%；上级补助收入0.00万元，占0.00%；事业收入0.00万元，占0.00%；经营收入0.00万元，占0.00%；附属单位上缴收入0.00万元，占0.00%；其他收入60.62万元，占9.98%。</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本年支出580.10万元，</w:t>
      </w:r>
      <w:r>
        <w:rPr>
          <w:rFonts w:ascii="仿宋_GB2312" w:hAnsi="仿宋_GB2312" w:eastAsia="仿宋_GB2312"/>
          <w:b w:val="0"/>
          <w:sz w:val="32"/>
        </w:rPr>
        <w:t>其中：基本支出538.47万元，占92.82%；项目支出41.63万元，占7.18%；上缴上级支出0.00万元，占0.00%；经营支出0.00万元，占0.00%；对附属单位补助支出0.00万元，占0.00%。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2025年度财政拨款收入总计546.52万元，</w:t>
      </w:r>
      <w:r>
        <w:rPr>
          <w:rFonts w:ascii="仿宋_GB2312" w:hAnsi="仿宋_GB2312" w:eastAsia="仿宋_GB2312"/>
          <w:b w:val="0"/>
          <w:sz w:val="32"/>
        </w:rPr>
        <w:t>其中：年初财政拨款结转和结余0.00万元，本年财政拨款收入546.52万元。</w:t>
      </w:r>
      <w:r>
        <w:rPr>
          <w:rFonts w:ascii="仿宋_GB2312" w:hAnsi="仿宋_GB2312" w:eastAsia="仿宋_GB2312"/>
          <w:b/>
          <w:sz w:val="32"/>
        </w:rPr>
        <w:t>财政拨款支出总计546.52万元，</w:t>
      </w:r>
      <w:r>
        <w:rPr>
          <w:rFonts w:ascii="仿宋_GB2312" w:hAnsi="仿宋_GB2312" w:eastAsia="仿宋_GB2312"/>
          <w:b w:val="0"/>
          <w:sz w:val="32"/>
        </w:rPr>
        <w:t>其中：年末财政拨款结转和结余0.00万元，本年财政拨款支出546.52万元。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增加67.28万元，增长14.04%，主要原因是：本年在职人员增加，在职人员工资调增、社保、公积金基数调增，人员经费增加。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年初预算数447.42万元，决算数546.52万元，预决算差异率22.15%，主要原因是：本年在职人员增加，年中追加人员经费及人员工资、社保、公积金基数调增部分资金，导致预决算存在差异。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事业发展、民生保障等重点支出，体现在有关支出科目中。</w:t>
      </w:r>
    </w:p>
    <w:p>
      <w:pPr>
        <w:spacing w:line="580" w:lineRule="exact"/>
        <w:ind w:firstLine="640"/>
        <w:jc w:val="both"/>
      </w:pPr>
      <w:r>
        <w:rPr>
          <w:rFonts w:ascii="仿宋_GB2312" w:hAnsi="仿宋_GB2312" w:eastAsia="仿宋_GB2312"/>
          <w:b w:val="0"/>
          <w:sz w:val="32"/>
        </w:rPr>
        <w:t>按照支出功能分类，商业服务业等支出（类）商业流通事务（款）行政运行（项）的支出占本年财政拨款支出总额的比重最高，2025年度决算数为374.06万元，占比68.44%，主要用于人员工资福利、日常公用经费。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2025年度一般公共预算财政拨款支出546.52万元，</w:t>
      </w:r>
      <w:r>
        <w:rPr>
          <w:rFonts w:ascii="仿宋_GB2312" w:hAnsi="仿宋_GB2312" w:eastAsia="仿宋_GB2312"/>
          <w:b w:val="0"/>
          <w:sz w:val="32"/>
        </w:rPr>
        <w:t>占本年支出合计的94.21%。</w:t>
      </w:r>
      <w:r>
        <w:rPr>
          <w:rFonts w:ascii="仿宋_GB2312" w:hAnsi="仿宋_GB2312" w:eastAsia="仿宋_GB2312"/>
          <w:b/>
          <w:sz w:val="32"/>
        </w:rPr>
        <w:t>与上年相比，</w:t>
      </w:r>
      <w:r>
        <w:rPr>
          <w:rFonts w:ascii="仿宋_GB2312" w:hAnsi="仿宋_GB2312" w:eastAsia="仿宋_GB2312"/>
          <w:b w:val="0"/>
          <w:sz w:val="32"/>
        </w:rPr>
        <w:t>增加67.28万元，增长14.04%，主要原因是：本年在职人员增加，在职人员工资调增、社保、公积金基数调增，人员经费增加。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年初预算数447.42万元，决算数546.52万元，预决算差异率22.15%，主要原因是：本年在职人员增加，年中追加人员经费及人员工资、社保、公积金基数调增部分资金，导致预决算存在差异。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1.社会保障和就业支出（类）101.74万元，占18.62%。</w:t>
      </w:r>
    </w:p>
    <w:p>
      <w:pPr>
        <w:spacing w:line="580" w:lineRule="exact"/>
        <w:ind w:firstLine="640"/>
        <w:jc w:val="both"/>
      </w:pPr>
      <w:r>
        <w:rPr>
          <w:rFonts w:ascii="仿宋_GB2312" w:hAnsi="仿宋_GB2312" w:eastAsia="仿宋_GB2312"/>
          <w:b w:val="0"/>
          <w:sz w:val="32"/>
        </w:rPr>
        <w:t>2.卫生健康支出（类）31.46万元，占5.76%。</w:t>
      </w:r>
    </w:p>
    <w:p>
      <w:pPr>
        <w:spacing w:line="580" w:lineRule="exact"/>
        <w:ind w:firstLine="640"/>
        <w:jc w:val="both"/>
      </w:pPr>
      <w:r>
        <w:rPr>
          <w:rFonts w:ascii="仿宋_GB2312" w:hAnsi="仿宋_GB2312" w:eastAsia="仿宋_GB2312"/>
          <w:b w:val="0"/>
          <w:sz w:val="32"/>
        </w:rPr>
        <w:t>3.资源勘探工业信息等支出（类）3.06万元，占0.56%。</w:t>
      </w:r>
    </w:p>
    <w:p>
      <w:pPr>
        <w:spacing w:line="580" w:lineRule="exact"/>
        <w:ind w:firstLine="640"/>
        <w:jc w:val="both"/>
      </w:pPr>
      <w:r>
        <w:rPr>
          <w:rFonts w:ascii="仿宋_GB2312" w:hAnsi="仿宋_GB2312" w:eastAsia="仿宋_GB2312"/>
          <w:b w:val="0"/>
          <w:sz w:val="32"/>
        </w:rPr>
        <w:t>4.商业服务业等支出（类）374.06万元，占68.44%。</w:t>
      </w:r>
    </w:p>
    <w:p>
      <w:pPr>
        <w:spacing w:line="580" w:lineRule="exact"/>
        <w:ind w:firstLine="640"/>
        <w:jc w:val="both"/>
      </w:pPr>
      <w:r>
        <w:rPr>
          <w:rFonts w:ascii="仿宋_GB2312" w:hAnsi="仿宋_GB2312" w:eastAsia="仿宋_GB2312"/>
          <w:b w:val="0"/>
          <w:sz w:val="32"/>
        </w:rPr>
        <w:t>5.住房保障支出（类）31.20万元，占5.71%。</w:t>
      </w:r>
    </w:p>
    <w:p>
      <w:pPr>
        <w:spacing w:line="580" w:lineRule="exact"/>
        <w:ind w:firstLine="640"/>
        <w:jc w:val="both"/>
      </w:pPr>
      <w:r>
        <w:rPr>
          <w:rFonts w:ascii="仿宋_GB2312" w:hAnsi="仿宋_GB2312" w:eastAsia="仿宋_GB2312"/>
          <w:b w:val="0"/>
          <w:sz w:val="32"/>
        </w:rPr>
        <w:t>6.其他支出（类）5.00万元，占0.91%。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1.社会保障和就业支出（类）行政事业单位养老支出（款）事业单位离退休（项）：支出决算数为41.91万元，比上年决算增加8.61万元，增长25.86%，主要原因是：本年增加退休人员基础绩效奖，退休费支出增加。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40.28万元，比上年决算增加3.45万元，增长9.37%，主要原因是：本年在职人员工资基数调增，在职人员增加，养老缴费基数上涨，相应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19.55万元，比上年决算减少11.65万元，下降37.34%，主要原因是：本年度我单位无退休人员职业年金坐实，职业年金缴费较上年减少。</w:t>
      </w:r>
    </w:p>
    <w:p>
      <w:pPr>
        <w:spacing w:line="580" w:lineRule="exact"/>
        <w:ind w:firstLine="640"/>
        <w:jc w:val="both"/>
      </w:pPr>
      <w:r>
        <w:rPr>
          <w:rFonts w:ascii="仿宋_GB2312" w:hAnsi="仿宋_GB2312" w:eastAsia="仿宋_GB2312"/>
          <w:b w:val="0"/>
          <w:sz w:val="32"/>
        </w:rPr>
        <w:t>4.卫生健康支出（类）行政事业单位医疗（款）行政单位医疗（项）：支出决算数为21.39万元，比上年决算增加2.98万元，增长16.19%，主要原因是：本年在职人员工资基数调增，在职人员增加，医疗缴费基数上涨，行政单位医疗支出较上年增加。</w:t>
      </w:r>
    </w:p>
    <w:p>
      <w:pPr>
        <w:spacing w:line="580" w:lineRule="exact"/>
        <w:ind w:firstLine="640"/>
        <w:jc w:val="both"/>
      </w:pPr>
      <w:r>
        <w:rPr>
          <w:rFonts w:ascii="仿宋_GB2312" w:hAnsi="仿宋_GB2312" w:eastAsia="仿宋_GB2312"/>
          <w:b w:val="0"/>
          <w:sz w:val="32"/>
        </w:rPr>
        <w:t>5.卫生健康支出（类）行政事业单位医疗（款）公务员医疗补助（项）：支出决算数为9.78万元，比上年决算增加8.63万元，增长750.43%，主要原因是：本年在职人员工资基数调增，在职人员增加，医疗缴费基数上涨，相应支出增加。</w:t>
      </w:r>
    </w:p>
    <w:p>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0.29万元，比上年决算增加0.17万元，增长141.67%，主要原因是：本年在职人员工资基数调增，在职人员增加，医疗缴费基数上涨，大病医疗保险支出较上年增加。</w:t>
      </w:r>
    </w:p>
    <w:p>
      <w:pPr>
        <w:spacing w:line="580" w:lineRule="exact"/>
        <w:ind w:firstLine="640"/>
        <w:jc w:val="both"/>
      </w:pPr>
      <w:r>
        <w:rPr>
          <w:rFonts w:ascii="仿宋_GB2312" w:hAnsi="仿宋_GB2312" w:eastAsia="仿宋_GB2312"/>
          <w:b w:val="0"/>
          <w:sz w:val="32"/>
        </w:rPr>
        <w:t>7.资源勘探工业信息等支出（类）制造业（款）通信设备、计算机及其他电子设备制造业（项）：支出决算数为3.06万元，比上年决算增加3.06万元，增长100.00%，主要原因是：本年度增加专项业务经费，导致经费支出增加。</w:t>
      </w:r>
    </w:p>
    <w:p>
      <w:pPr>
        <w:spacing w:line="580" w:lineRule="exact"/>
        <w:ind w:firstLine="640"/>
        <w:jc w:val="both"/>
      </w:pPr>
      <w:r>
        <w:rPr>
          <w:rFonts w:ascii="仿宋_GB2312" w:hAnsi="仿宋_GB2312" w:eastAsia="仿宋_GB2312"/>
          <w:b w:val="0"/>
          <w:sz w:val="32"/>
        </w:rPr>
        <w:t>8.商业服务业等支出（类）商业流通事务（款）行政运行（项）：支出决算数为374.06万元，比上年决算增加53.51万元，增长16.69%，主要原因是：本年在职人员工资调增，在职人员增加，导致相关人员经费较上年有所增加。</w:t>
      </w:r>
    </w:p>
    <w:p>
      <w:pPr>
        <w:spacing w:line="580" w:lineRule="exact"/>
        <w:ind w:firstLine="640"/>
        <w:jc w:val="both"/>
      </w:pPr>
      <w:r>
        <w:rPr>
          <w:rFonts w:ascii="仿宋_GB2312" w:hAnsi="仿宋_GB2312" w:eastAsia="仿宋_GB2312"/>
          <w:b w:val="0"/>
          <w:sz w:val="32"/>
        </w:rPr>
        <w:t>9.商业服务业等支出（类）商业流通事务（款）其他商业流通事务支出（项）：支出决算数为0.00万元，比上年决算减少3.00万元，下降100.00%，主要原因是：本年度未产生专项业务采购计划项目，经费较上年度减少。</w:t>
      </w:r>
    </w:p>
    <w:p>
      <w:pPr>
        <w:spacing w:line="580" w:lineRule="exact"/>
        <w:ind w:firstLine="640"/>
        <w:jc w:val="both"/>
      </w:pPr>
      <w:r>
        <w:rPr>
          <w:rFonts w:ascii="仿宋_GB2312" w:hAnsi="仿宋_GB2312" w:eastAsia="仿宋_GB2312"/>
          <w:b w:val="0"/>
          <w:sz w:val="32"/>
        </w:rPr>
        <w:t>10.住房保障支出（类）住房改革支出（款）住房公积金（项）：支出决算数为31.20万元，比上年决算增加1.76万元，增长5.98%，主要原因是：本年在职人员工资基数调增，在职人员增加，公积金缴费基数上涨，住房公积金支出较上年增加。</w:t>
      </w:r>
    </w:p>
    <w:p>
      <w:pPr>
        <w:spacing w:line="580" w:lineRule="exact"/>
        <w:ind w:firstLine="640"/>
        <w:jc w:val="both"/>
      </w:pPr>
      <w:r>
        <w:rPr>
          <w:rFonts w:ascii="仿宋_GB2312" w:hAnsi="仿宋_GB2312" w:eastAsia="仿宋_GB2312"/>
          <w:b w:val="0"/>
          <w:sz w:val="32"/>
        </w:rPr>
        <w:t>11.其他支出（类）其他支出（款）其他支出（项）：支出决算数为5.00万元，比上年决算减少0.25万元，下降4.76%，主要原因是：本年为民办实事经费支出减少。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2025年度一般公共预算财政拨款基本支出538.46万元，其中：</w:t>
      </w:r>
      <w:r>
        <w:rPr>
          <w:rFonts w:ascii="仿宋_GB2312" w:hAnsi="仿宋_GB2312" w:eastAsia="仿宋_GB2312"/>
          <w:b/>
          <w:sz w:val="32"/>
        </w:rPr>
        <w:t>人员经费481.04万元，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离休费、退休费、抚恤金、生活补助、奖励金。</w:t>
      </w:r>
    </w:p>
    <w:p>
      <w:pPr>
        <w:spacing w:line="580" w:lineRule="exact"/>
        <w:ind w:firstLine="640"/>
        <w:jc w:val="both"/>
      </w:pPr>
      <w:r>
        <w:rPr>
          <w:rFonts w:ascii="仿宋_GB2312" w:hAnsi="仿宋_GB2312" w:eastAsia="仿宋_GB2312"/>
          <w:b/>
          <w:sz w:val="32"/>
        </w:rPr>
        <w:t>公用经费57.42万元，</w:t>
      </w:r>
      <w:r>
        <w:rPr>
          <w:rFonts w:ascii="仿宋_GB2312" w:hAnsi="仿宋_GB2312" w:eastAsia="仿宋_GB2312"/>
          <w:b w:val="0"/>
          <w:sz w:val="32"/>
        </w:rPr>
        <w:t>包括：办公费、水费、电费、邮电费、取暖费、差旅费、培训费、公务接待费、劳务费、委托业务费、工会经费、福利费、公务用车运行维护费、其他商品和服务支出。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2025年度财政拨款“三公”经费支出3.60万元，</w:t>
      </w:r>
      <w:r>
        <w:rPr>
          <w:rFonts w:ascii="仿宋_GB2312" w:hAnsi="仿宋_GB2312" w:eastAsia="仿宋_GB2312"/>
          <w:b w:val="0"/>
          <w:sz w:val="32"/>
        </w:rPr>
        <w:t>比上年增加0.56万元，增长18.48%，主要原因是：本年因业务需求，调拨入公务用车1辆，导致公务用车运行维护费较上年增加。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公务用车购置及运行维护费支出3.36万元，占93.33%，比上年增加0.52万元，增长18.31%，主要原因是：本年因业务需求，调拨入公务用车1辆，导致公务用车运行维护费较上年增加。</w:t>
      </w:r>
      <w:r>
        <w:rPr>
          <w:rFonts w:ascii="仿宋_GB2312" w:hAnsi="仿宋_GB2312" w:eastAsia="仿宋_GB2312"/>
          <w:b w:val="0"/>
          <w:sz w:val="32"/>
        </w:rPr>
        <w:t>公务接待费支出0.23万元，占6.39%，比上年增加0.04万元，增长21.05%，主要原因是：本年因业务需求，增加公务接待工作，导致公务接待费较上年略有增加。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3.36万元，其中：公务用车购置费0.00万元，公务用车运行维护费3.36万元。公务用车运行维护费开支内容包括车辆加油费、维修费、保险费、审车费、过路费等。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公务接待费0.23万元，开支内容包括接待上级领导调研产生的就餐费。单位全年安排的国内公务接待4批次，29人次。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3.60万元，决算数3.60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3.36万元，决算数3.36万元，预决算差异率0.00%，主要原因是：严格按照预算执行，预决算无差异。公务接待费全年预算数0.23万元，决算数0.23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2025年度昌吉回族自治州供销社（行政单位和参照公务员法管理事业单位）机关运行经费支出57.42万元，比上年增加18.82万元，增长48.76%，主要原因是：本年劳务费增加，机关运行经费支出较上年度增加。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2025年度政府采购支出总额7.81万元，其中：政府采购货物支出1.30万元、政府采购工程支出0.00万元、政府采购服务支出6.52万元。</w:t>
      </w:r>
    </w:p>
    <w:p>
      <w:pPr>
        <w:spacing w:line="580" w:lineRule="exact"/>
        <w:ind w:firstLine="640"/>
        <w:jc w:val="both"/>
      </w:pPr>
      <w:r>
        <w:rPr>
          <w:rFonts w:ascii="仿宋_GB2312" w:hAnsi="仿宋_GB2312" w:eastAsia="仿宋_GB2312"/>
          <w:b w:val="0"/>
          <w:sz w:val="32"/>
        </w:rPr>
        <w:t>授予中小企业合同金额3.53万元，占政府采购支出总额的45.20%，其中：授予小微企业合同金额1.53万元，占政府采购支出总额的19.59%。</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1,860.00平方米，价值192.34万元。车辆2辆，价值37.77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610.12万元，实际执行总额580.10万元；预算绩效评价项目2个，全年预算数33.57万元，全年执行数33.57万元。预算绩效管理取得的成效：一是绩效管控体系日趋完善，精细化管理水平持续提升。严格落实预算编制、执行、监督、决算全流程绩效管理要求，实现重点项目、专项经费绩效目标全覆盖，细化量化各项绩效指标，压实绩效管理责任。常态化开展预算执行动态监控、年度绩效自评及整改提升工作，有效杜绝资金闲置、低效使用等问题，全面规范财政资金管理流程，推动预算管理科学化、规范化、精细化。二是绩效导向作用全面强化，资金使用效益显著提质。牢固树立“花钱必问效、无效必问责”的绩效理念，通过精准施策、精准保障，有效提升财政资金落地执行力和利用效率，实现预算安排与履职需求、重点工作高度匹配，充分发挥财政资金撬动赋能作用，最大化释放助农惠农、服务发展实效。三是绩效成果运用落地走实，履职赋能效能持续释放。健全绩效评价结果与预算编制、资金分配，使项目管理提质、资金使用增效。发现的问题及原因：（一）综合改革任务艰巨。深化综合改革合力不足，相关配套政策仍需进一步完善，服务领域需进一步拓展，部分改革任务还需加大力度，研究制定配套政策综合改革发展不平衡，个别县级供销社在服务“三农”作用发挥方面还有差距。（二）社有企业实力薄弱。经营机制和管理体制还不健全，与基层社、农民专业合作社之间的利益联结机制不够紧密，在技术创新、经营创新、转型升级等面临诸多挑战。（三）基层组织建设有待加强。供销社系统经济基础较为薄弱，基层供销社多由经营主体以社会资本投入为主，大多数为开放办，更多考虑经济效益，供销社没有绝对话语权。下一步改进措施：一是在联系实际中理清工作思路。要知行合一，科学谋划未来，推动精神落地见效。要坚持学以致用、知行合一，将“八代会”精神全面融入到全州供销社工作的具体实践中。要围绕“八代会”确定的未来五年全国供销系统发展目标和重点任务，立足工作实际和发展现状，深入研究谋划未来五年全市供销系统在深化综合改革、完善服务体系、壮大社有企业、创新经营模式、助力乡村振兴等方面的目标路径、重点任务和关键举措，将“八代会”的各项部署要求转化为推动供销合作事业再上新台阶的生动实践。二是建立现代企业管理制度。分类推进公司制改革，加快清理长期停业歇业的企业，对社有资本投资运营公司，应保持社有独资或全资，对正常经营的企业制定切实可行的改制方案，做到应改尽改；对为农服务重点领域的社有资本投资运营公司出资企业要保持供销合作社控股地位和对企三是持续推进村社联建模式。联合村“两委”发展培育壮大新型农村集体经济，通过股份合作、资源共享、优势互补、共同经营的方式，持续推广“村社联建”的农村供销综合服务社，实现基层社发展、村集体经济壮大、农民得实惠的良好格局。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昌吉回族自治州供销社</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447.42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452.45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610.12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580.10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指导，深入贯彻落实党的二十届三中全会精神、自治区党委十届十二次全会精神、自治州党委十二届九次全会和中央、自治区党委、州党委农村工作会议精神，完整准确全面贯彻新时代党的治疆方略，学习运用“千万工程”经验，认真学贯彻习近平总书记在中华全国供销总社成立70周年之际作出的重要指示批示精神，以持续深化供销合作社综合改革为主线，以推动全资、控股社有企业高质量发展为方向，以实体化基层供销社建设为抓手，以供应链平台建设为突破口，州县乡三级联合合作，不断完善服务平台、提升服务能力、拓展服务领域，努力将全州供销系统建成服务农民生产生活的生力军和综合平台，建成党和政府密切联系农民群众的桥梁纽带，为全面推进乡村振兴、加快建设农业强州和中国式现代化新疆实践的典范地州作出新的更大贡献。按照《2025年深化供销合作社综合改革重点工作任务书》新供联发〔2025〕16号文件要求，结合《昌吉州供销社2025年工作计划》，计划本年度新建农村供销综合服务社10个，新建农产品外销平台（门店、商超）10个，全州供销系统年供应农资量25万吨，全州供销系统全年完成农业社会化服务300万亩次，改造提升基层社1个。</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610.12万元，全年执行数为580.10万元，总预算执行率为95.08%。2025年我单位完成以下工作内容：1.新建农村供销综合服务社10个；2.新建农产品外销平台（门店、商超）10个；3.全州供销系统年供应农资量27万吨；4.全州供销系统全年完成农业社会化服务326万亩次；5.改造提升基层社1个。通过以上工作的推进，努力将全州供销系统建成服务农民生产生活的生力军和综合平台，建成党和政府密切联系农民群众的桥梁纽带，为全面推进乡村振兴、加快建设农业强州和中国式现代化新疆实践的典范地州作出新的更大贡献。</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新建农村供销综合服务社</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《2025年深化供销合作社综合改革重点工作任务书》新供联发〔2025〕16号文件、《昌吉州供销社2025年工作计划》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新建农产品外销平台（门店、商超）</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《2025年深化供销合作社综合改革重点工作任务书》新供联发〔2025〕16号文件、《昌吉州供销社2025年工作计划》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全州供销系统年供应农资量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&gt;=25万吨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《2025年深化供销合作社综合改革重点工作任务书》新供联发〔2025〕16号文件、《昌吉州供销社2025年工作计划》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=27万吨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全州供销系统全年完成农业社会化服务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&gt;=300万亩次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《2025年深化供销合作社综合改革重点工作任务书》新供联发〔2025〕16号文件、《昌吉州供销社2025年工作计划》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=326万亩次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改造提升基层社</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《2025年深化供销合作社综合改革重点工作任务书》新供联发〔2025〕16号文件、《昌吉州供销社2025年工作计划》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2024年山西援疆昌吉州农副产品外销平台补助资金项目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昌吉回族自治州供销合作社联合社</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昌吉回族自治州供销社</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山西省新建旗舰店1家，一般店4家，验收合格后，给予补助总计28万元，验收费用0.544万元，通过建设昌吉州名特优农副产品销售网络，突破昌吉州农产品销售的地域限制，塑造农产品品牌形象，优化供应链，提升农产品市场竞争力，促进农民增收。</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28.54万元，资金执行率100%，本项目实际完成在山西省新建旗舰店1家，一般店4家，初验合格后，给予补助总计28万元，验收费用0.54万元，通过建设昌吉州名特优农副产品销售网络，突破昌吉州农产品销售的地域限制，塑造农产品品牌形象，优化供应链，提升昌吉州农产品市场竞争力，旗舰店销售昌吉州农产品达到100万元以上，有效促进农民增收。</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新建旗舰店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新建一般店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评选验收合格率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旗舰店补助标准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一般店补助标准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旗舰店销售昌吉州农产品（万元）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晋疆产销对接持续深化，山西线下商超、展销推介活动成效超预期，线上直播带货热度攀升，昌吉特色农产品认可度大幅提升。前期指标测算偏保守，未充分预估援疆渠道拓展增量、订单批量增长及企业集中铺货效应。加之冷链物流保障完善、品牌宣传力度加大，大宗购销订单增多，致使年度实际农产品销售额高于预设绩效目标，故产生偏差偏差。下一步改进措施：精准复盘历年销售数据，科学研判市场行情与援疆合作规模，合理上调后续绩效指标基数，提升目标设定精准度。持续拓宽晋疆外销渠道，健全产销长效对接机制，优化产品供应链与冷链配送。强化品牌运营推广，规范销售台账统计，动态监测营收数据。常态化跟踪平台运营，稳步扩大外销规模，保障项目效益平稳可持续。</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品牌知名度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昌吉回族自治州供销合作社联合社</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昌吉回族自治州供销社</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合理使用机构运行补助经费，保障昌吉州供销社的正常运转。深入贯彻落实习近平总书记关于供销合作社工作重要指示批示精神，深入贯彻落实党的二十届三中全会精神，以持续深化供销合作社综合改革为主线，不断完善服务平台、提升服务能力、拓展服务领域，努力将全州供销系统建成服务农民生产生活的生力军和综合平台，建成党和政府密切联系农民群众的桥梁纽带，为全面推进乡村振兴、加快建设农业强州和中国式现代化新疆实践的典范地州作出新的更大贡献。</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5.03万元，资金执行率100%。本项目实际完成：1组织党员开展活动3次；2.采购办公用品4次，验收合格率100%；3.经费的及时支付，保障了我单位的正常运行，不断提升为农服务能力。机构运行补助经费有效保障昌吉州供销社的正常运转，不断完善服务平台、提升服务能力、拓展服务领域，努力将全州供销系统建成服务农民生产生活的生力军和综合平台，建成党和政府密切联系农民群众的桥梁纽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组织党员开展活动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采购办公设备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采购办公设备费用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不断提升服务能力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州供销社机关党员满意度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本年本单位其他项目2个，全年预算数8.06万元，全年执行数8.06万元。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