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昌吉回族自治州公安局食品药品环境犯罪侦查分局天池大队</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掌握所辖国有林区内食品药品、知识产权、生态环境、森林草原、生物安全、制售伪劣商品等领域犯罪动态，拟定预防、打击对策；侦办所辖国有林区、自然保护区内，食品药品、知识产权、生态环境、森林草原、生物安全、制售伪劣商品等领域犯罪案件；依法办理所辖国有林区内公安机关负责的上述领域的行政案件。</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昌吉回族自治州公安局食品药品环境犯罪侦查分局天池大队无下属预算单位。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2025年度收入总计167.60万元，</w:t>
      </w:r>
      <w:r>
        <w:rPr>
          <w:rFonts w:ascii="仿宋_GB2312" w:hAnsi="仿宋_GB2312" w:eastAsia="仿宋_GB2312"/>
          <w:b w:val="0"/>
          <w:sz w:val="32"/>
        </w:rPr>
        <w:t>其中：本年收入合计167.60万元，使用非财政拨款结余（含专用结余）0.00万元，年初结转和结余0.00万元。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2025年度支出总计167.60万元，</w:t>
      </w:r>
      <w:r>
        <w:rPr>
          <w:rFonts w:ascii="仿宋_GB2312" w:hAnsi="仿宋_GB2312" w:eastAsia="仿宋_GB2312"/>
          <w:b w:val="0"/>
          <w:sz w:val="32"/>
        </w:rPr>
        <w:t>其中：本年支出合计167.54万元，结余分配0.00万元，年末结转和结余0.06万元。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减少145.64万元，下降46.49%，主要原因是：本年在职人员减少，相关人员经费较上年减少。本年财政支出完成，结转结余资金减少。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本年收入167.60万元，</w:t>
      </w:r>
      <w:r>
        <w:rPr>
          <w:rFonts w:ascii="仿宋_GB2312" w:hAnsi="仿宋_GB2312" w:eastAsia="仿宋_GB2312"/>
          <w:b w:val="0"/>
          <w:sz w:val="32"/>
        </w:rPr>
        <w:t>其中：财政拨款收入167.54万元，占99.96%；上级补助收入0.00万元，占0.00%；事业收入0.00万元，占0.00%；经营收入0.00万元，占0.00%；附属单位上缴收入0.00万元，占0.00%；其他收入0.06万元，占0.04%。</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本年支出167.54万元，</w:t>
      </w:r>
      <w:r>
        <w:rPr>
          <w:rFonts w:ascii="仿宋_GB2312" w:hAnsi="仿宋_GB2312" w:eastAsia="仿宋_GB2312"/>
          <w:b w:val="0"/>
          <w:sz w:val="32"/>
        </w:rPr>
        <w:t>其中：基本支出167.38万元，占99.90%；项目支出0.17万元，占0.10%；上缴上级支出0.00万元，占0.00%；经营支出0.00万元，占0.00%；对附属单位补助支出0.00万元，占0.00%。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2025年度财政拨款收入总计167.54万元，</w:t>
      </w:r>
      <w:r>
        <w:rPr>
          <w:rFonts w:ascii="仿宋_GB2312" w:hAnsi="仿宋_GB2312" w:eastAsia="仿宋_GB2312"/>
          <w:b w:val="0"/>
          <w:sz w:val="32"/>
        </w:rPr>
        <w:t>其中：年初财政拨款结转和结余0.00万元，本年财政拨款收入167.54万元。</w:t>
      </w:r>
      <w:r>
        <w:rPr>
          <w:rFonts w:ascii="仿宋_GB2312" w:hAnsi="仿宋_GB2312" w:eastAsia="仿宋_GB2312"/>
          <w:b/>
          <w:sz w:val="32"/>
        </w:rPr>
        <w:t>财政拨款支出总计167.54万元，</w:t>
      </w:r>
      <w:r>
        <w:rPr>
          <w:rFonts w:ascii="仿宋_GB2312" w:hAnsi="仿宋_GB2312" w:eastAsia="仿宋_GB2312"/>
          <w:b w:val="0"/>
          <w:sz w:val="32"/>
        </w:rPr>
        <w:t>其中：年末财政拨款结转和结余0.00万元，本年财政拨款支出167.54万元。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减少46.54万元，下降21.74%，主要原因是：本年在职人员减少，相关人员经费较上年减少。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年初预算数220.48万元，决算数167.54万元，预决算差异率-24.01%，主要原因是：本年在职人员减少，年中调减人员经费，导致预决算存在差异。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按照支出功能分类，公共安全支出（类）公安（款）行政运行（项）的支出占本年财政拨款支出总额的比重最高，2025年度决算数为121.69万元，占比72.63%，主要用于人员工资福利、日常公用经费。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2025年度一般公共预算财政拨款支出167.54万元，</w:t>
      </w:r>
      <w:r>
        <w:rPr>
          <w:rFonts w:ascii="仿宋_GB2312" w:hAnsi="仿宋_GB2312" w:eastAsia="仿宋_GB2312"/>
          <w:b w:val="0"/>
          <w:sz w:val="32"/>
        </w:rPr>
        <w:t>占本年支出合计的100.00%。</w:t>
      </w:r>
      <w:r>
        <w:rPr>
          <w:rFonts w:ascii="仿宋_GB2312" w:hAnsi="仿宋_GB2312" w:eastAsia="仿宋_GB2312"/>
          <w:b/>
          <w:sz w:val="32"/>
        </w:rPr>
        <w:t>与上年相比，</w:t>
      </w:r>
      <w:r>
        <w:rPr>
          <w:rFonts w:ascii="仿宋_GB2312" w:hAnsi="仿宋_GB2312" w:eastAsia="仿宋_GB2312"/>
          <w:b w:val="0"/>
          <w:sz w:val="32"/>
        </w:rPr>
        <w:t>减少46.54万元，下降21.74%，主要原因是：本年在职人员减少，相关人员经费较上年减少。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年初预算数220.48万元，决算数167.54万元，预决算差异率-24.01%，主要原因是：本年在职人员减少，年中调减人员经费，导致预决算存在差异。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1.公共安全支出（类）121.86万元，占72.73%。</w:t>
      </w:r>
    </w:p>
    <w:p>
      <w:pPr>
        <w:spacing w:line="580" w:lineRule="exact"/>
        <w:ind w:firstLine="640"/>
        <w:jc w:val="both"/>
      </w:pPr>
      <w:r>
        <w:rPr>
          <w:rFonts w:ascii="仿宋_GB2312" w:hAnsi="仿宋_GB2312" w:eastAsia="仿宋_GB2312"/>
          <w:b w:val="0"/>
          <w:sz w:val="32"/>
        </w:rPr>
        <w:t>2.社会保障和就业支出（类）26.07万元，占15.56%。</w:t>
      </w:r>
    </w:p>
    <w:p>
      <w:pPr>
        <w:spacing w:line="580" w:lineRule="exact"/>
        <w:ind w:firstLine="640"/>
        <w:jc w:val="both"/>
      </w:pPr>
      <w:r>
        <w:rPr>
          <w:rFonts w:ascii="仿宋_GB2312" w:hAnsi="仿宋_GB2312" w:eastAsia="仿宋_GB2312"/>
          <w:b w:val="0"/>
          <w:sz w:val="32"/>
        </w:rPr>
        <w:t>3.卫生健康支出（类）8.98万元，占5.36%。</w:t>
      </w:r>
    </w:p>
    <w:p>
      <w:pPr>
        <w:spacing w:line="580" w:lineRule="exact"/>
        <w:ind w:firstLine="640"/>
        <w:jc w:val="both"/>
      </w:pPr>
      <w:r>
        <w:rPr>
          <w:rFonts w:ascii="仿宋_GB2312" w:hAnsi="仿宋_GB2312" w:eastAsia="仿宋_GB2312"/>
          <w:b w:val="0"/>
          <w:sz w:val="32"/>
        </w:rPr>
        <w:t>4.住房保障支出（类）10.64万元，占6.35%。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1.公共安全支出（类）公安（款）行政运行（项）：支出决算数为121.69万元，比上年决算减少38.73万元，下降24.14%，主要原因是：本年在职人员减少，相应人员经费较上年减少。</w:t>
      </w:r>
    </w:p>
    <w:p>
      <w:pPr>
        <w:spacing w:line="580" w:lineRule="exact"/>
        <w:ind w:firstLine="640"/>
        <w:jc w:val="both"/>
      </w:pPr>
      <w:r>
        <w:rPr>
          <w:rFonts w:ascii="仿宋_GB2312" w:hAnsi="仿宋_GB2312" w:eastAsia="仿宋_GB2312"/>
          <w:b w:val="0"/>
          <w:sz w:val="32"/>
        </w:rPr>
        <w:t>2.公共安全支出（类）公安（款）一般行政管理事务（项）：支出决算数为0.17万元，比上年决算减少0.72万元，下降80.90%，主要原因是：本年减少执法办案业务经费，导致经费支出减少。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3.社会保障和就业支出（类）行政事业单位养老支出（款）行政单位离退休（项）：支出决算数为0.83万元，比上年决算增加0.21万元，增长33.87%，主要原因是：本年退休人员增加，退休费支出增加。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11.61万元，比上年决算减少6.18万元，下降34.74%，主要原因是：本年在职人员减少，单位基本养老保险缴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13.63万元，比上年决算增加4.91万元，增长56.31%，主要原因是：本年新增辞职调出人员，职业年金缴费支出增加。</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6.卫生健康支出（类）行政事业单位医疗（款）行政单位医疗（项）：支出决算数为6.05万元，比上年决算减少2.76万元，下降31.33%，主要原因是：本年在职人员减少，行政单位医疗支出较上年减少。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2.90万元，比上年决算增加2.35万元，增长427.27%，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8.卫生健康支出（类）行政事业单位医疗（款）其他行政事业单位医疗支出（项）：支出决算数为0.03万元，比上年决算减少0.03万元，下降50.00%，主要原因是：本年在职人员减少，大病医疗保险支出较上年减少。</w:t>
      </w:r>
    </w:p>
    <w:p>
      <w:pPr>
        <w:spacing w:line="580" w:lineRule="exact"/>
        <w:ind w:firstLine="640"/>
        <w:jc w:val="both"/>
      </w:pPr>
      <w:r>
        <w:rPr>
          <w:rFonts w:ascii="仿宋_GB2312" w:hAnsi="仿宋_GB2312" w:eastAsia="仿宋_GB2312"/>
          <w:b w:val="0"/>
          <w:sz w:val="32"/>
        </w:rPr>
        <w:t>9.住房保障支出（类）住房改革支出（款）住房公积金（项）：支出决算数为10.64万元，比上年决算减少5.56万元，下降34.32%，主要原因是：本年在职人员减少，住房公积金缴费较上年减少。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2025年度一般公共预算财政拨款基本支出167.38万元，其中：</w:t>
      </w:r>
      <w:r>
        <w:rPr>
          <w:rFonts w:ascii="仿宋_GB2312" w:hAnsi="仿宋_GB2312" w:eastAsia="仿宋_GB2312"/>
          <w:b/>
          <w:sz w:val="32"/>
        </w:rPr>
        <w:t>人员经费149.07万元，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公用经费18.30万元，</w:t>
      </w:r>
      <w:r>
        <w:rPr>
          <w:rFonts w:ascii="仿宋_GB2312" w:hAnsi="仿宋_GB2312" w:eastAsia="仿宋_GB2312"/>
          <w:b w:val="0"/>
          <w:sz w:val="32"/>
        </w:rPr>
        <w:t>包括：办公费、邮电费、差旅费、维修（护）费、培训费、劳务费、委托业务费、工会经费、福利费、公务用车运行维护费、其他交通费用、其他商品和服务支出。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2025年度财政拨款“三公”经费支出3.29万元，</w:t>
      </w:r>
      <w:r>
        <w:rPr>
          <w:rFonts w:ascii="仿宋_GB2312" w:hAnsi="仿宋_GB2312" w:eastAsia="仿宋_GB2312"/>
          <w:b w:val="0"/>
          <w:sz w:val="32"/>
        </w:rPr>
        <w:t>比上年增加0.01万元，增长0.30%，主要原因是：本单位公务用车日渐老化，维修维护成本增加，导致公务用车运行维护费较上年增加。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公务用车购置及运行维护费支出3.29万元，占100.00%，比上年增加0.01万元，增长0.30%，主要原因是：本单位公务用车日渐老化，维修维护成本增加，导致公务用车运行维护费较上年增加。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3.29万元，其中：公务用车购置费0.00万元，公务用车运行维护费3.29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3.29万元，决算数3.29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3.29万元，决算数3.29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公安局食品药品环境犯罪侦查分局天池大队（行政单位和参照公务员法管理事业单位）机关运行经费支出18.30万元，比上年增加6.96万元，增长61.38%，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2025年度政府采购支出总额2.66万元，其中：政府采购货物支出0.00万元、政府采购工程支出0.00万元、政府采购服务支出2.66万元。</w:t>
      </w:r>
    </w:p>
    <w:p>
      <w:pPr>
        <w:spacing w:line="580" w:lineRule="exact"/>
        <w:ind w:firstLine="640"/>
        <w:jc w:val="both"/>
      </w:pPr>
      <w:r>
        <w:rPr>
          <w:rFonts w:ascii="仿宋_GB2312" w:hAnsi="仿宋_GB2312" w:eastAsia="仿宋_GB2312"/>
          <w:b w:val="0"/>
          <w:sz w:val="32"/>
        </w:rPr>
        <w:t>授予中小企业合同金额0.86万元，占政府采购支出总额的32.33%，其中：授予小微企业合同金额0.86万元，占政府采购支出总额的32.33%。</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440.19平方米，价值109.82万元。车辆2辆，价值39.24万元，其中：副部（省）级及以上领导用车0辆、主要负责人用车0辆、机要通信用车0辆、应急保障用车0辆、执法执勤用车2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167.60万元，实际执行总额167.54万元；预算绩效评价项目0个，全年预算数0.00万元，全年执行数0.00万元。预算绩效管理取得的成效：一是通过预算绩效管理，规范了项目资金的使用，不断提高专项资金使用效益，加强了项目资金的管理；二是实行预算绩效管理，推进了项目的实施进度。发现的问题及原因：一是单位内控职责不够细化，项目预算的绩效设定与实际的项目支出存在些许差距，争取在今后工作中准确把握项目资金支出，达到资金的最大效益；二是部分绩效目标未能有效分解细化到内设机构和具体项目，责任主体不明确；三是目前财务工作量较大，任务繁重，为了能够适应新政府会计制度的改革实施，要进一步加大财务人员培训力度，提高业务水平和能力；四是预算执行中存在前松后紧现象，部分资金使用进度滞后。下一步改进措施：一是加大预算绩效管理培训力度，贯彻落实相关办法及制度。采取集中学习、讲座、专题会议等方式，加大对参与绩效管理工作的人员培训力度，进一步统一认识，充实业务知识。以提高工作人员素质，以达到预算绩效管理标准化、常态化的要求，最终实现提高绩效管理工作效率及质量的目标；二是将绩效管理要求深度嵌入预算编制、执行、决算及项目管理、资产等全过程，实现绩效管理与业务管理同频共振。具体附整体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昌吉回族自治州公安局食品药品环境犯罪侦查分局天池大队</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220.48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167.54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负责侦办辖区内制售伪劣食品药品化妆品，假冒注册商标或专利，侵犯著作权，污染环境，破坏野生动植物资源，妨害动植物防疫检疫道法或滥伐林木，非法占用农用地，非法采矿等违法犯罪案件。加强高风险药品生产企业监督检查，开展药品安全宣传活动，强化生态保护修复监管，依法依规开展不合格（问题）食品核查处置，达到公正执法、保护人民群众合法权益。</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167.6万元，全年执行数为167.54万元，总预算执行率为99.96%。2024年我单位完成以下工作内容：1.全年开展法律培训活动4期；2.租赁马匹20匹；3.设备维修维护2次；4购买办公用品2次；5.培训出勤率95%。通过以上工作的实施，加强高风险药品生产企业监督检查，开展药品安全宣传活动，强化生态保护修复监管，依法依规开展不合格（问题）食品核查处置，达到公正执法、保护人民群众合法权益的效益。</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全年开展法律培训活动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4期</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租赁马匹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设备维修维护</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w:t>
            </w:r>
          </w:p>
        </w:tc>
      </w:tr>
    </w:tbl>
    <w:p>
      <w:r>
        <w:br w:type="page"/>
      </w: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本年本单位其他项目1个，全年预算数0.17万元，全年执行数0.17万元。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