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昌吉回族自治州公安局食品药品环境犯罪侦查分局卡拉麦里大队</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掌握所辖国有林区内食品药品、知识产权、生态环境、森林草原、生物安全、制售伪劣商品等领域犯罪动态，拟定预防、打击对策；侦办所辖国有林区、自然保护区内，食品药品、知识产权、生态环境、森林草原、生物安全、制售伪劣商品等领域犯罪案件；依法办理所辖国有林区内公安机关负责的上述领域的行政案件。</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昌吉回族自治州公安局食品药品环境犯罪侦查分局卡拉麦里大队无下属预算单位。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2025年度收入总计111.61万元，</w:t>
      </w:r>
      <w:r>
        <w:rPr>
          <w:rFonts w:ascii="仿宋_GB2312" w:hAnsi="仿宋_GB2312" w:eastAsia="仿宋_GB2312"/>
          <w:b w:val="0"/>
          <w:sz w:val="32"/>
        </w:rPr>
        <w:t>其中：本年收入合计111.61万元，使用非财政拨款结余（含专用结余）0.00万元，年初结转和结余0.00万元。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2025年度支出总计111.61万元，</w:t>
      </w:r>
      <w:r>
        <w:rPr>
          <w:rFonts w:ascii="仿宋_GB2312" w:hAnsi="仿宋_GB2312" w:eastAsia="仿宋_GB2312"/>
          <w:b w:val="0"/>
          <w:sz w:val="32"/>
        </w:rPr>
        <w:t>其中：本年支出合计111.59万元，结余分配0.00万元，年末结转和结余0.03万元。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减少89.11万元，下降44.40%，主要原因是：本年在职人员减少，相关人员经费较上年减少。机关运行补助经费较上年减少。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本年收入111.61万元，</w:t>
      </w:r>
      <w:r>
        <w:rPr>
          <w:rFonts w:ascii="仿宋_GB2312" w:hAnsi="仿宋_GB2312" w:eastAsia="仿宋_GB2312"/>
          <w:b w:val="0"/>
          <w:sz w:val="32"/>
        </w:rPr>
        <w:t>其中：财政拨款收入111.59万元，占99.98%；上级补助收入0.00万元，占0.00%；事业收入0.00万元，占0.00%；经营收入0.00万元，占0.00%；附属单位上缴收入0.00万元，占0.00%；其他收入0.03万元，占0.03%。</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本年支出111.59万元，</w:t>
      </w:r>
      <w:r>
        <w:rPr>
          <w:rFonts w:ascii="仿宋_GB2312" w:hAnsi="仿宋_GB2312" w:eastAsia="仿宋_GB2312"/>
          <w:b w:val="0"/>
          <w:sz w:val="32"/>
        </w:rPr>
        <w:t>其中：基本支出110.93万元，占99.41%；项目支出0.65万元，占0.58%；上缴上级支出0.00万元，占0.00%；经营支出0.00万元，占0.00%；对附属单位补助支出0.00万元，占0.00%。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2025年度财政拨款收入总计111.59万元，</w:t>
      </w:r>
      <w:r>
        <w:rPr>
          <w:rFonts w:ascii="仿宋_GB2312" w:hAnsi="仿宋_GB2312" w:eastAsia="仿宋_GB2312"/>
          <w:b w:val="0"/>
          <w:sz w:val="32"/>
        </w:rPr>
        <w:t>其中：年初财政拨款结转和结余0.00万元，本年财政拨款收入111.59万元。</w:t>
      </w:r>
      <w:r>
        <w:rPr>
          <w:rFonts w:ascii="仿宋_GB2312" w:hAnsi="仿宋_GB2312" w:eastAsia="仿宋_GB2312"/>
          <w:b/>
          <w:sz w:val="32"/>
        </w:rPr>
        <w:t>财政拨款支出总计111.59万元，</w:t>
      </w:r>
      <w:r>
        <w:rPr>
          <w:rFonts w:ascii="仿宋_GB2312" w:hAnsi="仿宋_GB2312" w:eastAsia="仿宋_GB2312"/>
          <w:b w:val="0"/>
          <w:sz w:val="32"/>
        </w:rPr>
        <w:t>其中：年末财政拨款结转和结余0.00万元，本年财政拨款支出111.59万元。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减少52.77万元，下降32.11%，主要原因是：本年在职人员减少，相关人员经费较上年减少。机关运行补助经费较上年减少。</w:t>
      </w:r>
      <w:r>
        <w:rPr>
          <w:rFonts w:ascii="仿宋_GB2312" w:hAnsi="仿宋_GB2312" w:eastAsia="仿宋_GB2312"/>
          <w:b/>
          <w:sz w:val="32"/>
        </w:rPr>
        <w:t>与年初预算相比，</w:t>
      </w:r>
      <w:r>
        <w:rPr>
          <w:rFonts w:ascii="仿宋_GB2312" w:hAnsi="仿宋_GB2312" w:eastAsia="仿宋_GB2312"/>
          <w:b w:val="0"/>
          <w:sz w:val="32"/>
        </w:rPr>
        <w:t>年初预算数140.11万元，决算数111.59万元，预决算差异率-20.36%，主要原因是：本年在职人员减少，年中调减人员经费，导致预决算存在差异。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按照支出功能分类，公共安全支出（类）公安（款）行政运行（项）的支出占本年财政拨款支出总额的比重最高，2025年度决算数为78.55万元，占比70.39%，主要用于人员工资福利、日常经费支出。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2025年度一般公共预算财政拨款支出111.59万元，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减少52.77万元，下降32.11%，主要原因是：本年在职人员减少，相关人员经费较上年减少。机关运行补助经费较上年减少。</w:t>
      </w:r>
      <w:r>
        <w:rPr>
          <w:rFonts w:ascii="仿宋_GB2312" w:hAnsi="仿宋_GB2312" w:eastAsia="仿宋_GB2312"/>
          <w:b/>
          <w:sz w:val="32"/>
        </w:rPr>
        <w:t>与年初预算相比，</w:t>
      </w:r>
      <w:r>
        <w:rPr>
          <w:rFonts w:ascii="仿宋_GB2312" w:hAnsi="仿宋_GB2312" w:eastAsia="仿宋_GB2312"/>
          <w:b w:val="0"/>
          <w:sz w:val="32"/>
        </w:rPr>
        <w:t>年初预算数140.11万元，决算数111.59万元，预决算差异率-20.36%，主要原因是：本年在职人员减少，年中调减人员经费，导致预决算存在差异。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1.公共安全支出（类）79.21万元，占70.98%。</w:t>
      </w:r>
    </w:p>
    <w:p>
      <w:pPr>
        <w:spacing w:line="580" w:lineRule="exact"/>
        <w:ind w:firstLine="640"/>
        <w:jc w:val="both"/>
      </w:pPr>
      <w:r>
        <w:rPr>
          <w:rFonts w:ascii="仿宋_GB2312" w:hAnsi="仿宋_GB2312" w:eastAsia="仿宋_GB2312"/>
          <w:b w:val="0"/>
          <w:sz w:val="32"/>
        </w:rPr>
        <w:t>2.社会保障和就业支出（类）19.60万元，占17.56%。</w:t>
      </w:r>
    </w:p>
    <w:p>
      <w:pPr>
        <w:spacing w:line="580" w:lineRule="exact"/>
        <w:ind w:firstLine="640"/>
        <w:jc w:val="both"/>
      </w:pPr>
      <w:r>
        <w:rPr>
          <w:rFonts w:ascii="仿宋_GB2312" w:hAnsi="仿宋_GB2312" w:eastAsia="仿宋_GB2312"/>
          <w:b w:val="0"/>
          <w:sz w:val="32"/>
        </w:rPr>
        <w:t>3.卫生健康支出（类）5.90万元，占5.29%。</w:t>
      </w:r>
    </w:p>
    <w:p>
      <w:pPr>
        <w:spacing w:line="580" w:lineRule="exact"/>
        <w:ind w:firstLine="640"/>
        <w:jc w:val="both"/>
      </w:pPr>
      <w:r>
        <w:rPr>
          <w:rFonts w:ascii="仿宋_GB2312" w:hAnsi="仿宋_GB2312" w:eastAsia="仿宋_GB2312"/>
          <w:b w:val="0"/>
          <w:sz w:val="32"/>
        </w:rPr>
        <w:t>4.住房保障支出（类）6.89万元，占6.17%。</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1.公共安全支出（类）公安（款）行政运行（项）：支出决算数为78.55万元，比上年决算减少31.81万元，下降28.82%，主要原因是：本年在职人员减少，相应人员经费较上年减少。</w:t>
      </w:r>
    </w:p>
    <w:p>
      <w:pPr>
        <w:spacing w:line="580" w:lineRule="exact"/>
        <w:ind w:firstLine="640"/>
        <w:jc w:val="both"/>
      </w:pPr>
      <w:r>
        <w:rPr>
          <w:rFonts w:ascii="仿宋_GB2312" w:hAnsi="仿宋_GB2312" w:eastAsia="仿宋_GB2312"/>
          <w:b w:val="0"/>
          <w:sz w:val="32"/>
        </w:rPr>
        <w:t>2.公共安全支出（类）公安（款）一般行政管理事务（项）：支出决算数为0.65万元，比上年决算减少2.67万元，下降80.42%，主要原因是：机关运行补助经费较上年减少。</w:t>
      </w:r>
    </w:p>
    <w:p>
      <w:pPr>
        <w:spacing w:line="580" w:lineRule="exact"/>
        <w:ind w:firstLine="640"/>
        <w:jc w:val="both"/>
      </w:pPr>
      <w:r>
        <w:rPr>
          <w:rFonts w:ascii="仿宋_GB2312" w:hAnsi="仿宋_GB2312" w:eastAsia="仿宋_GB2312"/>
          <w:b w:val="0"/>
          <w:sz w:val="32"/>
        </w:rPr>
        <w:t>3.社会保障和就业支出（类）行政事业单位养老支出（款）行政单位离退休（项）：支出决算数为0.99万元，比上年决算增加0.99万元，增长100.00%，主要原因是：本年退休人员增加，退休费支出增加。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7.17万元，比上年决算减少8.10万元，下降53.05%，主要原因是：本年在职人员减少，单位基本养老保险缴费较上年减少。</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11.44万元，比上年决算减少3.66万元，下降24.24%，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6.卫生健康支出（类）行政事业单位医疗（款）行政单位医疗（项）：支出决算数为5.47万元，比上年决算减少2.17万元，下降28.40%，主要原因是：本年在职人员减少，行政单位医疗支出较上年减少。</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7.卫生健康支出（类）行政事业单位医疗（款）公务员医疗补助（项）：支出决算数为0.40万元，比上年决算减少0.08万元，下降16.67%，主要原因是：本年在职人员减少，公务员医疗补助较上年减少。</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8.卫生健康支出（类）行政事业单位医疗（款）其他行政事业单位医疗支出（项）：支出决算数为0.03万元，比上年决算减少0.01万元，下降25.00%，主要原因是：本年在职人员减少，大病医疗保险支出较上年减少。</w:t>
      </w:r>
    </w:p>
    <w:p>
      <w:pPr>
        <w:spacing w:line="580" w:lineRule="exact"/>
        <w:ind w:firstLine="640"/>
        <w:jc w:val="both"/>
      </w:pPr>
      <w:r>
        <w:rPr>
          <w:rFonts w:ascii="仿宋_GB2312" w:hAnsi="仿宋_GB2312" w:eastAsia="仿宋_GB2312"/>
          <w:b w:val="0"/>
          <w:sz w:val="32"/>
        </w:rPr>
        <w:t>9.住房保障支出（类）住房改革支出（款）住房公积金（项）：支出决算数为6.89万元，比上年决算减少5.27万元，下降43.34%，主要原因是：本年在职人员减少，住房公积金缴费较上年减少。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2025年度一般公共预算财政拨款基本支出110.93万元，其中：</w:t>
      </w:r>
      <w:r>
        <w:rPr>
          <w:rFonts w:ascii="仿宋_GB2312" w:hAnsi="仿宋_GB2312" w:eastAsia="仿宋_GB2312"/>
          <w:b/>
          <w:sz w:val="32"/>
        </w:rPr>
        <w:t>人员经费99.17万元，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公用经费11.76万元，</w:t>
      </w:r>
      <w:r>
        <w:rPr>
          <w:rFonts w:ascii="仿宋_GB2312" w:hAnsi="仿宋_GB2312" w:eastAsia="仿宋_GB2312"/>
          <w:b w:val="0"/>
          <w:sz w:val="32"/>
        </w:rPr>
        <w:t>包括：办公费、差旅费、培训费、劳务费、委托业务费、工会经费、福利费、公务用车运行维护费、其他交通费用、其他商品和服务支出。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2025年度财政拨款“三公”经费支出1.50万元，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公务用车购置及运行维护费支出1.50万元，占100.00%，比上年增加0.00万元，增长0.00%，主要原因是：本单位公务用车运行维护费与上年一致无变化。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1.50万元，其中：公务用车购置费0.00万元，公务用车运行维护费1.50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1.50万元，决算数1.50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1.50万元，决算数1.50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公安局食品药品环境犯罪侦查分局卡拉麦里大队（行政单位和参照公务员法管理事业单位）机关运行经费支出11.76万元，比上年增加2.28万元，增长24.05%，主要原因是：本年更新、维护补充办公用品，导致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2025年度政府采购支出总额3.11万元，其中：政府采购货物支出0.31万元、政府采购工程支出0.00万元、政府采购服务支出2.81万元。</w:t>
      </w:r>
    </w:p>
    <w:p>
      <w:pPr>
        <w:spacing w:line="580" w:lineRule="exact"/>
        <w:ind w:firstLine="640"/>
        <w:jc w:val="both"/>
      </w:pPr>
      <w:r>
        <w:rPr>
          <w:rFonts w:ascii="仿宋_GB2312" w:hAnsi="仿宋_GB2312" w:eastAsia="仿宋_GB2312"/>
          <w:b w:val="0"/>
          <w:sz w:val="32"/>
        </w:rPr>
        <w:t>授予中小企业合同金额1.30万元，占政府采购支出总额的41.80%，其中：授予小微企业合同金额1.30万元，占政府采购支出总额的41.80%。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20.34万元，其中：副部（省）级及以上领导用车0辆、主要负责人用车0辆、机要通信用车0辆、应急保障用车0辆、执法执勤用车1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111.61万元，实际执行总额111.59万元；预算绩效评价项目0个，全年预算数0.00万元，全年执行数0.00万元。预算绩效管理取得的成效：一是通过预算绩效管理，规范了项目资金的使用，不断提高专项资金使用效益，加强了项目资金的管理；二是实行预算绩效管理，推进了项目的实施进度。发现的问题及原因：一是单位内控职责不够细化，项目预算的绩效设定与实际的项目支出存在些许差距，争取在今后工作中准确把握项目资金支出，达到资金的最大效益；二是部分绩效目标未能有效分解细化到内设机构和具体项目，责任主体不明确；三是目前财务工作量较大，任务繁重，为了能够适应新政府会计制度的改革实施，要进一步加大财务人员培训力度，提高业务水平和能力；四是预算执行中存在前松后紧现象，部分资金使用进度滞后。下一步改进措施：一是加大预算绩效管理培训力度，贯彻落实相关办法及制度。采取集中学习、讲座、专题会议等方式，加大对参与绩效管理工作的人员培训力度，进一步统一认识，充实业务知识。以提高工作人员素质，以达到预算绩效管理标准化、常态化的要求，最终实现提高绩效管理工作效率及质量的目标；二是将绩效管理要求深度嵌入预算编制、执行、决算及项目管理、资产等全过程，实现绩效管理与业务管理同频共振。具体附整体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昌吉回族自治州公安局食品药品环境犯罪侦查分局卡拉麦里大队</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140.11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111.59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111.59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140.11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111.61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111.59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负责侦办辖区内制售伪劣食品药品化妆品，假冒注册商标或专利，侵犯著作权，污染环境，破坏野生动植物资源，妨害动植物防疫检疫道法或滥伐林木，非法占用农用地，非法采矿等违法犯罪案件。加强高风险药品生产企业监督检查，开展药品安全宣传活动，强化生态保护修复监管，依法依规开展不合格（问题）食品核查处置，达到公正执法、保护人民群众合法权益。</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111.61万元，全年执行数为111.59万元，总预算执行率为99.99%。2025年我单位完成以下工作内容：1.全年开展法律培训活动2期；2保障办公人数7人；3.设备维护维修2次；4.购置办公用品2次2次；5.培训出勤率95%。通过以上工作的实施，加强高风险药品生产企业监督检查，开展药品安全宣传活动，强化生态保护修复监管，依法依规开展不合格（问题）食品核查处置，达到公正执法、保护人民群众合法权</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全年开展法律培训活动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设备维修维护</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购置办公用品</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本年本单位其他项目1个，全年预算数0.65万元，全年执行数0.65万元。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