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昌吉回族自治州公安局食品药品环境犯罪侦查分局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掌握全州食品药品、知识产权、生态环境、森林草原、生物安全、制售伪劣商品等领域犯罪动态，拟定预防、打击对策；组织、指导、协调，监督全州公安机关开展对食品药品、知识产权、生态环境、森林草原、生物安全、制售伪劣商品等领域犯罪案件的侦查工作；侦办自治州范围内有重大影响的相关领域犯罪案件，依法办理自治州范围内上述领域有重大影响的由公安机关负责的行政案件。</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昌吉回族自治州公安局食品药品环境犯罪侦查分局无下属预算单位。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2025年度收入总计407.12万元，</w:t>
      </w:r>
      <w:r>
        <w:rPr>
          <w:rFonts w:ascii="仿宋_GB2312" w:hAnsi="仿宋_GB2312" w:eastAsia="仿宋_GB2312"/>
          <w:b w:val="0"/>
          <w:sz w:val="32"/>
        </w:rPr>
        <w:t>其中：本年收入合计407.12万元，使用非财政拨款结余（含专用结余）0.00万元，年初结转和结余0.00万元。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2025年度支出总计407.12万元，</w:t>
      </w:r>
      <w:r>
        <w:rPr>
          <w:rFonts w:ascii="仿宋_GB2312" w:hAnsi="仿宋_GB2312" w:eastAsia="仿宋_GB2312"/>
          <w:b w:val="0"/>
          <w:sz w:val="32"/>
        </w:rPr>
        <w:t>其中：本年支出合计407.11万元，结余分配0.00万元，年末结转和结余0.01万元。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减少137.14万元，下降25.20%，主要原因是：本年在职人员调入调出，人员职级不同，工资基数不同，导致人员经费较上年减少。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本年收入407.12万元，</w:t>
      </w:r>
      <w:r>
        <w:rPr>
          <w:rFonts w:ascii="仿宋_GB2312" w:hAnsi="仿宋_GB2312" w:eastAsia="仿宋_GB2312"/>
          <w:b w:val="0"/>
          <w:sz w:val="32"/>
        </w:rPr>
        <w:t>其中：财政拨款收入407.11万元，占100.00%；上级补助收入0.00万元，占0.00%；事业收入0.00万元，占0.00%；经营收入0.00万元，占0.00%；附属单位上缴收入0.00万元，占0.00%；其他收入0.01万元，占0.002%。</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本年支出407.11万元，</w:t>
      </w:r>
      <w:r>
        <w:rPr>
          <w:rFonts w:ascii="仿宋_GB2312" w:hAnsi="仿宋_GB2312" w:eastAsia="仿宋_GB2312"/>
          <w:b w:val="0"/>
          <w:sz w:val="32"/>
        </w:rPr>
        <w:t>其中：基本支出356.20万元，占87.49%；项目支出50.91万元，占12.51%；上缴上级支出0.00万元，占0.00%；经营支出0.00万元，占0.00%；对附属单位补助支出0.00万元，占0.00%。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2025年度财政拨款收入总计407.11万元，</w:t>
      </w:r>
      <w:r>
        <w:rPr>
          <w:rFonts w:ascii="仿宋_GB2312" w:hAnsi="仿宋_GB2312" w:eastAsia="仿宋_GB2312"/>
          <w:b w:val="0"/>
          <w:sz w:val="32"/>
        </w:rPr>
        <w:t>其中：年初财政拨款结转和结余0.00万元，本年财政拨款收入407.11万元。</w:t>
      </w:r>
      <w:r>
        <w:rPr>
          <w:rFonts w:ascii="仿宋_GB2312" w:hAnsi="仿宋_GB2312" w:eastAsia="仿宋_GB2312"/>
          <w:b/>
          <w:sz w:val="32"/>
        </w:rPr>
        <w:t>财政拨款支出总计407.11万元，</w:t>
      </w:r>
      <w:r>
        <w:rPr>
          <w:rFonts w:ascii="仿宋_GB2312" w:hAnsi="仿宋_GB2312" w:eastAsia="仿宋_GB2312"/>
          <w:b w:val="0"/>
          <w:sz w:val="32"/>
        </w:rPr>
        <w:t>其中：年末财政拨款结转和结余0.00万元，本年财政拨款支出407.11万元。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减少136.91万元，下降25.17%，主要原因是：本年在职人员调入调出，人员职级不同，工资基数不同，导致人员经费较上年减少。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年初预算数501.66万元，决算数407.11万元，预决算差异率-18.85%，主要原因是：因公安体制改革，年中调减人员工资、社保、医保等支出，导致预决算存在差异。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y运行等重点支出，体现在有关支出科目中。</w:t>
      </w:r>
    </w:p>
    <w:p>
      <w:pPr>
        <w:spacing w:line="580" w:lineRule="exact"/>
        <w:ind w:firstLine="640"/>
        <w:jc w:val="both"/>
      </w:pPr>
      <w:r>
        <w:rPr>
          <w:rFonts w:ascii="仿宋_GB2312" w:hAnsi="仿宋_GB2312" w:eastAsia="仿宋_GB2312"/>
          <w:b w:val="0"/>
          <w:sz w:val="32"/>
        </w:rPr>
        <w:t>按照支出功能分类，公共安全支出（类）公安（款）行政运行（项）的支出占本年财政拨款支出总额的比重最高，2025年度决算数为285.15万元，占比70.04%，主要用于人员工资福利、日常公用经费。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2025年度一般公共预算财政拨款支出407.11万元，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减少136.91万元，下降25.17%，主要原因是：本年在职人员调入调出，人员职级不同，工资基数不同，导致人员经费较上年减少。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年初预算数501.66万元，决算数407.11万元，预决算差异率-18.85%，主要原因是：因公安体制改革，年中调减人员工资、社保、医保等支出，导致预决算存在差异。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1.公共安全支出（类）336.06万元，占82.55%。</w:t>
      </w:r>
    </w:p>
    <w:p>
      <w:pPr>
        <w:spacing w:line="580" w:lineRule="exact"/>
        <w:ind w:firstLine="640"/>
        <w:jc w:val="both"/>
      </w:pPr>
      <w:r>
        <w:rPr>
          <w:rFonts w:ascii="仿宋_GB2312" w:hAnsi="仿宋_GB2312" w:eastAsia="仿宋_GB2312"/>
          <w:b w:val="0"/>
          <w:sz w:val="32"/>
        </w:rPr>
        <w:t>2.社会保障和就业支出（类）34.36万元，占8.44%。</w:t>
      </w:r>
    </w:p>
    <w:p>
      <w:pPr>
        <w:spacing w:line="580" w:lineRule="exact"/>
        <w:ind w:firstLine="640"/>
        <w:jc w:val="both"/>
      </w:pPr>
      <w:r>
        <w:rPr>
          <w:rFonts w:ascii="仿宋_GB2312" w:hAnsi="仿宋_GB2312" w:eastAsia="仿宋_GB2312"/>
          <w:b w:val="0"/>
          <w:sz w:val="32"/>
        </w:rPr>
        <w:t>3.卫生健康支出（类）15.86万元，占3.90%。</w:t>
      </w:r>
    </w:p>
    <w:p>
      <w:pPr>
        <w:spacing w:line="580" w:lineRule="exact"/>
        <w:ind w:firstLine="640"/>
        <w:jc w:val="both"/>
      </w:pPr>
      <w:r>
        <w:rPr>
          <w:rFonts w:ascii="仿宋_GB2312" w:hAnsi="仿宋_GB2312" w:eastAsia="仿宋_GB2312"/>
          <w:b w:val="0"/>
          <w:sz w:val="32"/>
        </w:rPr>
        <w:t>4.住房保障支出（类）20.83万元，占5.12%。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公共安全支出（类）公安（款）行政运行（项）：支出决算数为285.15万元，比上年决算减少90.11万元，下降24.01%，主要原因是：本年在职人员调入调出，人员职级不同，工资基数不同，导致人员经费较上年减少。</w:t>
      </w:r>
    </w:p>
    <w:p>
      <w:pPr>
        <w:spacing w:line="580" w:lineRule="exact"/>
        <w:ind w:firstLine="640"/>
        <w:jc w:val="both"/>
      </w:pPr>
      <w:r>
        <w:rPr>
          <w:rFonts w:ascii="仿宋_GB2312" w:hAnsi="仿宋_GB2312" w:eastAsia="仿宋_GB2312"/>
          <w:b w:val="0"/>
          <w:sz w:val="32"/>
        </w:rPr>
        <w:t>2.公共安全支出（类）公安（款）一般行政管理事务（项）：支出决算数为50.91万元，比上年决算增加2.59万元，增长5.36%，主要原因是：本年新增专项业务经费，导致经费支出增加。</w:t>
      </w:r>
    </w:p>
    <w:p>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3.社会保障和就业支出（类）行政事业单位养老支出（款）行政单位离退休（项）：支出决算数为6.92万元，比上年决算增加2.51万元，增长56.92%，主要原因是：本年增加退休人员基础绩效奖，退休费支出增加。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19.37万元，比上年决算减少19.07万元，下降49.61%，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8.07万元，比上年决算减少14.45万元，下降64.17%，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6.卫生健康支出（类）行政事业单位医疗（款）行政单位医疗（项）：支出决算数为10.90万元，比上年决算减少9.04万元，下降45.34%，主要原因是：本年在职人员调入调出，人员职级不同，缴费基数不同，导致行政单位医疗支出较上年减少。</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4.84万元，比上年决算增加3.98万元，增长462.79%，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0.12万元，比上年决算减少0.05万元，下降29.41%，主要原因是：本年在职人员调入调出，人员职级不同，缴费基数不同，导致大病医疗保险支出较上年减少。</w:t>
      </w:r>
    </w:p>
    <w:p>
      <w:pPr>
        <w:spacing w:line="580" w:lineRule="exact"/>
        <w:ind w:firstLine="640"/>
        <w:jc w:val="both"/>
      </w:pPr>
      <w:r>
        <w:rPr>
          <w:rFonts w:ascii="仿宋_GB2312" w:hAnsi="仿宋_GB2312" w:eastAsia="仿宋_GB2312"/>
          <w:b w:val="0"/>
          <w:sz w:val="32"/>
        </w:rPr>
        <w:t>9.住房保障支出（类）住房改革支出（款）住房公积金（项）：支出决算数为20.83万元，比上年决算减少13.28万元，下降38.93%，主要原因是：本年在职人员调入调出，人员职级不同，缴费基数不同，导致住房公积金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2025年度一般公共预算财政拨款基本支出356.20万元，其中：</w:t>
      </w:r>
      <w:r>
        <w:rPr>
          <w:rFonts w:ascii="仿宋_GB2312" w:hAnsi="仿宋_GB2312" w:eastAsia="仿宋_GB2312"/>
          <w:b/>
          <w:sz w:val="32"/>
        </w:rPr>
        <w:t>人员经费301.24万元，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生活补助、奖励金。</w:t>
      </w:r>
    </w:p>
    <w:p>
      <w:pPr>
        <w:spacing w:line="580" w:lineRule="exact"/>
        <w:ind w:firstLine="640"/>
        <w:jc w:val="both"/>
      </w:pPr>
      <w:r>
        <w:rPr>
          <w:rFonts w:ascii="仿宋_GB2312" w:hAnsi="仿宋_GB2312" w:eastAsia="仿宋_GB2312"/>
          <w:b/>
          <w:sz w:val="32"/>
        </w:rPr>
        <w:t>公用经费54.96万元，</w:t>
      </w:r>
      <w:r>
        <w:rPr>
          <w:rFonts w:ascii="仿宋_GB2312" w:hAnsi="仿宋_GB2312" w:eastAsia="仿宋_GB2312"/>
          <w:b w:val="0"/>
          <w:sz w:val="32"/>
        </w:rPr>
        <w:t>包括：办公费、印刷费、水费、电费、邮电费、取暖费、差旅费、维修（护）费、培训费、劳务费、工会经费、福利费、公务用车运行维护费、其他商品和服务支出。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2025年度财政拨款“三公”经费支出7.79万元，</w:t>
      </w:r>
      <w:r>
        <w:rPr>
          <w:rFonts w:ascii="仿宋_GB2312" w:hAnsi="仿宋_GB2312" w:eastAsia="仿宋_GB2312"/>
          <w:b w:val="0"/>
          <w:sz w:val="32"/>
        </w:rPr>
        <w:t>比上年增加0.60万元，增长8.34%，主要原因是：本单位公务用车日渐老化，维修维护成本增加，导致公务用车运行维护费较上年增加。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公务用车购置及运行维护费支出7.79万元，占100.00%，比上年增加0.60万元，增长8.34%，主要原因是：本单位公务用车日渐老化，维修维护成本增加，导致公务用车运行维护费较上年增加。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7.79万元，其中：公务用车购置费0.00万元，公务用车运行维护费7.79万元。公务用车运行维护费开支内容包括车辆加油费、维修费、保险费、审车费、过路费等。公务用车购置数0辆，公务用车保有量7辆。国有资产占用情况中固定资产车辆7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7.79万元，决算数7.79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7.79万元，决算数7.79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公安局食品药品环境犯罪侦查分局（行政单位和参照公务员法管理事业单位）机关运行经费支出54.96万元，比上年增加7.63万元，增长16.12%，主要原因是：本年更新、维护补充办公用品，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2025年度政府采购支出总额9.28万元，其中：政府采购货物支出0.00万元、政府采购工程支出0.00万元、政府采购服务支出9.28万元。</w:t>
      </w:r>
    </w:p>
    <w:p>
      <w:pPr>
        <w:spacing w:line="580" w:lineRule="exact"/>
        <w:ind w:firstLine="640"/>
        <w:jc w:val="both"/>
      </w:pPr>
      <w:r>
        <w:rPr>
          <w:rFonts w:ascii="仿宋_GB2312" w:hAnsi="仿宋_GB2312" w:eastAsia="仿宋_GB2312"/>
          <w:b w:val="0"/>
          <w:sz w:val="32"/>
        </w:rPr>
        <w:t>授予中小企业合同金额1.99万元，占政府采购支出总额的21.44%，其中：授予小微企业合同金额1.99万元，占政府采购支出总额的21.44%。</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7辆，价值165.81万元，其中：副部（省）级及以上领导用车0辆、主要负责人用车0辆、机要通信用车0辆、应急保障用车0辆、执法执勤用车6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407.12万元，实际执行总额407.11万元；预算绩效评价项目0个，全年预算数0.00万元，全年执行数0.00万元。预算绩效管理取得的成效：一是通过预算绩效管理，规范了项目资金的使用，不断提高专项资金使用效益，加强了项目资金的管理；二是实行预算绩效管理，推进了项目的实施进度。发现的问题及原因：一是单位内控职责不够细化，项目预算的绩效设定与实际的项目支出存在些许差距，争取在今后工作中准确把握项目资金支出，达到资金的最大效益；二是部分绩效目标未能有效分解细化到内设机构和具体项目，责任主体不明确；三是目前财务工作量较大，任务繁重，为了能够适应新政府会计制度的改革实施，要进一步加大财务人员培训力度，提高业务水平和能力；四是预算执行中存在前松后紧现象，部分资金使用进度滞后。下一步改进措施：一是加大预算绩效管理培训力度，贯彻落实相关办法及制度。采取集中学习、讲座、专题会议等方式，加大对参与绩效管理工作的人员培训力度，进一步统一认识，充实业务知识。以提高工作人员素质，以达到预算绩效管理标准化、常态化的要求，最终实现提高绩效管理工作效率及质量的目标；二是将绩效管理要求深度嵌入预算编制、执行、决算及项目管理、资产等全过程，实现绩效管理与业务管理同频共振。具体附整体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昌吉回族自治州公安局食品药品环境犯罪侦查分局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501.66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407.11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407.11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501.66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407.12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407.11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负责侦办辖区内制售伪劣食品药品化妆品，假冒注册商标或专利，侵犯著作权，污染环境，破坏野生动植物资源，妨害动植物防疫检疫道法或滥伐林木，非法占用农用地，非法采矿等违法犯罪案件。加强高风险药品生产企业监督检查，开展药品安全宣传活动，强化生态保护修复监管，依法依规开展不合格（问题）食品核查处置，达到公正执法、保护人民群众合法权益。</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407.12万元，全年执行数为407.11万元，总预算执行率为100%。2025年我单位完成以下工作内容：1.全年开展法律培训活动6期；2.保障单位办公人数21人；3.食品药品快检培训2次；4.购买办公用品4次；5.培训出勤率90%。通过以上工作的实施，加强高风险药品生产企业监督检查，开展药品安全宣传活动，强化生态保护修复监管，依法依规开展不合格（问题）食品核查处置，达到公正执法、保护人民群众合法权益的效益。</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全年开展法律培训活动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保障单位办公人数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食品药品快检培训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购买办公用品</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