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昌吉回族自治州工业和信息化局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昌吉州工信局是政府工作部门，为正县级。单位主要负责组贯彻执行国家、自治区工业和信息化的法律法规和方针政策，提出工业和信息化发展规划政策建议；拟订自治州工业和信息化发展规划；贯彻落实国家、自治区产业政策，指导产业合理布局和结构调整；负责自治州工业经济运行，拟订工业经济运行调控目标，监测分析工业经济运行态势；负责协调石油开发建设与地方关系；负责自治州工业和信息化领域各行业的管理；负责盐业行业管理；负责自治州工业和信息产业及信息化建设技术改造投资管理；负责贯彻落实工业和信息化领域技术创新政策措施，培育和发展战略性新兴产业；指导自治州工业和信息化领域体制改革和管理创新；贯彻落实促进中小企业发展的相关政策措施并组织实施，负责对中小企业的宏观指导和服务；贯彻落实工业和信息化领域资源节约和综合利用规划、政策；负责民爆行业管理；负责推进信息化工作、指导电子信息产业发展等；完成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昌吉回族自治州工业和信息化局无下属预算单位。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2025年度收入总计8,193.27万元，</w:t>
      </w:r>
      <w:r>
        <w:rPr>
          <w:rFonts w:ascii="仿宋_GB2312" w:hAnsi="仿宋_GB2312" w:eastAsia="仿宋_GB2312"/>
          <w:b w:val="0"/>
          <w:sz w:val="32"/>
        </w:rPr>
        <w:t>其中：本年收入合计8,193.27万元，使用非财政拨款结余（含专用结余）0.00万元，年初结转和结余0.00万元。</w:t>
      </w:r>
    </w:p>
    <w:p>
      <w:pPr>
        <w:spacing w:line="580" w:lineRule="exact"/>
        <w:ind w:firstLine="640"/>
        <w:jc w:val="both"/>
      </w:pPr>
      <w:r>
        <w:rPr>
          <w:rFonts w:ascii="仿宋_GB2312" w:hAnsi="仿宋_GB2312" w:eastAsia="仿宋_GB2312"/>
          <w:b/>
          <w:sz w:val="32"/>
        </w:rPr>
        <w:t>2025年度支出总计8,193.27万元，</w:t>
      </w:r>
      <w:r>
        <w:rPr>
          <w:rFonts w:ascii="仿宋_GB2312" w:hAnsi="仿宋_GB2312" w:eastAsia="仿宋_GB2312"/>
          <w:b w:val="0"/>
          <w:sz w:val="32"/>
        </w:rPr>
        <w:t>其中：本年支出合计8,193.27万元，结余分配0.00万元，年末结转和结余0.00万元。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5,442.20万元，增长197.82%，主要原因是：本年增加昌吉州重点区域公共基础设施配套电源建设项目资金、2025年度人才工作经费、“庭州英才”人才工作经费、昌吉州数字政府—大数据运营管理调度中心等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本年收入8,193.27万元，</w:t>
      </w:r>
      <w:r>
        <w:rPr>
          <w:rFonts w:ascii="仿宋_GB2312" w:hAnsi="仿宋_GB2312" w:eastAsia="仿宋_GB2312"/>
          <w:b w:val="0"/>
          <w:sz w:val="32"/>
        </w:rPr>
        <w:t>其中：财政拨款收入8,154.55万元，占99.53%；上级补助收入0.00万元，占0.00%；事业收入0.00万元，占0.00%；经营收入0.00万元，占0.00%；附属单位上缴收入0.00万元，占0.00%；其他收入38.72万元，占0.47%。</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本年支出8,193.27万元，</w:t>
      </w:r>
      <w:r>
        <w:rPr>
          <w:rFonts w:ascii="仿宋_GB2312" w:hAnsi="仿宋_GB2312" w:eastAsia="仿宋_GB2312"/>
          <w:b w:val="0"/>
          <w:sz w:val="32"/>
        </w:rPr>
        <w:t>其中：基本支出770.76万元，占9.41%；项目支出7,422.51万元，占90.59%；上缴上级支出0.00万元，占0.00%；经营支出0.00万元，占0.00%；对附属单位补助支出0.00万元，占0.00%。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2025年度财政拨款收入总计8,154.55万元，</w:t>
      </w:r>
      <w:r>
        <w:rPr>
          <w:rFonts w:ascii="仿宋_GB2312" w:hAnsi="仿宋_GB2312" w:eastAsia="仿宋_GB2312"/>
          <w:b w:val="0"/>
          <w:sz w:val="32"/>
        </w:rPr>
        <w:t>其中：年初财政拨款结转和结余0.00万元，本年财政拨款收入8,154.55万元。</w:t>
      </w:r>
      <w:r>
        <w:rPr>
          <w:rFonts w:ascii="仿宋_GB2312" w:hAnsi="仿宋_GB2312" w:eastAsia="仿宋_GB2312"/>
          <w:b/>
          <w:sz w:val="32"/>
        </w:rPr>
        <w:t>财政拨款支出总计8,154.55万元，</w:t>
      </w:r>
      <w:r>
        <w:rPr>
          <w:rFonts w:ascii="仿宋_GB2312" w:hAnsi="仿宋_GB2312" w:eastAsia="仿宋_GB2312"/>
          <w:b w:val="0"/>
          <w:sz w:val="32"/>
        </w:rPr>
        <w:t>其中：年末财政拨款结转和结余0.00万元，本年财政拨款支出8,154.55万元。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5,541.52万元，增长212.07%，主要原因是：本年在职人员增加，相关人员经费增加，增加昌吉州重点区域公共基础设施配套电源建设项目资金、2025年度人才工作经费、“庭州英才”人才工作经费、昌吉州数字政府—大数据运营管理调度中心等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715.72万元，决算数8,154.55万元，预决算差异率1,039.35%，主要原因是：年中追加昌吉州重点区域公共基础设施配套电源建设项目资金、2025年度人才工作经费、“庭州英才”人才工作经费、昌吉州数字政府—大数据运营管理调度中心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机构运行等重点支出，体现在有关支出科目中。</w:t>
      </w:r>
    </w:p>
    <w:p>
      <w:pPr>
        <w:spacing w:line="580" w:lineRule="exact"/>
        <w:ind w:firstLine="640"/>
        <w:jc w:val="both"/>
      </w:pPr>
      <w:r>
        <w:rPr>
          <w:rFonts w:ascii="仿宋_GB2312" w:hAnsi="仿宋_GB2312" w:eastAsia="仿宋_GB2312"/>
          <w:b w:val="0"/>
          <w:sz w:val="32"/>
        </w:rPr>
        <w:t>按照支出功能分类，资源勘探工业信息等支出（类）支持中小企业发展和管理支出（款）中小企业发展专项（项）的支出占本年财政拨款支出总额的比重最高，2025年度决算数为5,327.15万元，占比65.33%，主要用于2024年中小企业数字化转型城市试点（第一批）奖补资金、中央财政2024年中小企业数字化转型城市试点奖补资金预算（第二批）、州工信局中小企业数字化转型本级配套资金。</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2025年度一般公共预算财政拨款支出8,154.55万元，</w:t>
      </w:r>
      <w:r>
        <w:rPr>
          <w:rFonts w:ascii="仿宋_GB2312" w:hAnsi="仿宋_GB2312" w:eastAsia="仿宋_GB2312"/>
          <w:b w:val="0"/>
          <w:sz w:val="32"/>
        </w:rPr>
        <w:t>占本年支出合计的99.53%。</w:t>
      </w:r>
      <w:r>
        <w:rPr>
          <w:rFonts w:ascii="仿宋_GB2312" w:hAnsi="仿宋_GB2312" w:eastAsia="仿宋_GB2312"/>
          <w:b/>
          <w:sz w:val="32"/>
        </w:rPr>
        <w:t>与上年相比，</w:t>
      </w:r>
      <w:r>
        <w:rPr>
          <w:rFonts w:ascii="仿宋_GB2312" w:hAnsi="仿宋_GB2312" w:eastAsia="仿宋_GB2312"/>
          <w:b w:val="0"/>
          <w:sz w:val="32"/>
        </w:rPr>
        <w:t>增加5,541.52万元，增长212.07%，主要原因是：本年增加昌吉州重点区域公共基础设施配套电源建设项目资金、2025年度人才工作经费、“庭州英才”人才工作经费、昌吉州数字政府—大数据运营管理调度中心等项目。</w:t>
      </w:r>
      <w:r>
        <w:rPr>
          <w:rFonts w:ascii="仿宋_GB2312" w:hAnsi="仿宋_GB2312" w:eastAsia="仿宋_GB2312"/>
          <w:b/>
          <w:sz w:val="32"/>
        </w:rPr>
        <w:t>与年初预算相比，</w:t>
      </w:r>
      <w:r>
        <w:rPr>
          <w:rFonts w:ascii="仿宋_GB2312" w:hAnsi="仿宋_GB2312" w:eastAsia="仿宋_GB2312"/>
          <w:b w:val="0"/>
          <w:sz w:val="32"/>
        </w:rPr>
        <w:t>年初预算数715.72万元，决算数8,154.55万元，预决算差异率1,039.35%，主要原因是：年中追加昌吉州重点区域公共基础设施配套电源建设项目资金、2025年度人才工作经费、“庭州英才”人才工作经费、昌吉州数字政府—大数据运营管理调度中心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1.一般公共服务支出（类）2,564.74万元，占31.45%。</w:t>
      </w:r>
    </w:p>
    <w:p>
      <w:pPr>
        <w:spacing w:line="580" w:lineRule="exact"/>
        <w:ind w:firstLine="640"/>
        <w:jc w:val="both"/>
      </w:pPr>
      <w:r>
        <w:rPr>
          <w:rFonts w:ascii="仿宋_GB2312" w:hAnsi="仿宋_GB2312" w:eastAsia="仿宋_GB2312"/>
          <w:b w:val="0"/>
          <w:sz w:val="32"/>
        </w:rPr>
        <w:t>2.社会保障和就业支出（类）164.27万元，占2.01%。</w:t>
      </w:r>
    </w:p>
    <w:p>
      <w:pPr>
        <w:spacing w:line="580" w:lineRule="exact"/>
        <w:ind w:firstLine="640"/>
        <w:jc w:val="both"/>
      </w:pPr>
      <w:r>
        <w:rPr>
          <w:rFonts w:ascii="仿宋_GB2312" w:hAnsi="仿宋_GB2312" w:eastAsia="仿宋_GB2312"/>
          <w:b w:val="0"/>
          <w:sz w:val="32"/>
        </w:rPr>
        <w:t>3.卫生健康支出（类）32.83万元，占0.40%。</w:t>
      </w:r>
    </w:p>
    <w:p>
      <w:pPr>
        <w:spacing w:line="580" w:lineRule="exact"/>
        <w:ind w:firstLine="640"/>
        <w:jc w:val="both"/>
      </w:pPr>
      <w:r>
        <w:rPr>
          <w:rFonts w:ascii="仿宋_GB2312" w:hAnsi="仿宋_GB2312" w:eastAsia="仿宋_GB2312"/>
          <w:b w:val="0"/>
          <w:sz w:val="32"/>
        </w:rPr>
        <w:t>4.资源勘探工业信息等支出（类）5,332.38万元，占65.39%。</w:t>
      </w:r>
    </w:p>
    <w:p>
      <w:pPr>
        <w:spacing w:line="580" w:lineRule="exact"/>
        <w:ind w:firstLine="640"/>
        <w:jc w:val="both"/>
      </w:pPr>
      <w:r>
        <w:rPr>
          <w:rFonts w:ascii="仿宋_GB2312" w:hAnsi="仿宋_GB2312" w:eastAsia="仿宋_GB2312"/>
          <w:b w:val="0"/>
          <w:sz w:val="32"/>
        </w:rPr>
        <w:t>5.住房保障支出（类）49.32万元，占0.60%。</w:t>
      </w:r>
    </w:p>
    <w:p>
      <w:pPr>
        <w:spacing w:line="580" w:lineRule="exact"/>
        <w:ind w:firstLine="640"/>
        <w:jc w:val="both"/>
      </w:pPr>
      <w:r>
        <w:rPr>
          <w:rFonts w:ascii="仿宋_GB2312" w:hAnsi="仿宋_GB2312" w:eastAsia="仿宋_GB2312"/>
          <w:b w:val="0"/>
          <w:sz w:val="32"/>
        </w:rPr>
        <w:t>6.灾害防治及应急管理支出（类）3.00万元，占0.04%。</w:t>
      </w:r>
    </w:p>
    <w:p>
      <w:pPr>
        <w:spacing w:line="580" w:lineRule="exact"/>
        <w:ind w:firstLine="640"/>
        <w:jc w:val="both"/>
      </w:pPr>
      <w:r>
        <w:rPr>
          <w:rFonts w:ascii="仿宋_GB2312" w:hAnsi="仿宋_GB2312" w:eastAsia="仿宋_GB2312"/>
          <w:b w:val="0"/>
          <w:sz w:val="32"/>
        </w:rPr>
        <w:t>7.其他支出（类）8.00万元，占0.10%。</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1.一般公共服务支出（类）商贸事务（款）行政运行（项）：支出决算数为521.30万元，比上年决算增加20.86万元，增长4.17%，主要原因是：本年在职人员工资调增，导致相关人员经费较上年有所增加。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一般公共服务支出（类）商贸事务（款）其他商贸事务支出（项）：支出决算数为2,043.44万元，比上年决算增加1,659.28万元，增长431.92%，主要原因是：本年增加昌吉州重点区域公共基础设施配套电源建设项目资金、2025年度人才工作经费、“庭州英才”人才工作经费、昌吉州数字政府—大数据运营管理调度中心等项目。</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3.社会保障和就业支出（类）行政事业单位养老支出（款）行政单位离退休（项）：支出决算数为57.82万元，比上年决算增加10.66万元，增长22.60%，主要原因是：本年增加退休人员基础绩效奖，退休费支出增加。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60.97万元，比上年决算增加7.77万元，增长14.61%，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45.48万元，比上年决算增加18.88万元，增长70.98%，主要原因是：本年新增辞职调出人员，职业年金缴费支出增加。</w:t>
      </w:r>
    </w:p>
    <w:p>
      <w:pPr>
        <w:spacing w:line="580" w:lineRule="exact"/>
        <w:ind w:firstLine="640"/>
        <w:jc w:val="both"/>
      </w:pPr>
      <w:r>
        <w:rPr>
          <w:rFonts w:ascii="仿宋_GB2312" w:hAnsi="仿宋_GB2312" w:eastAsia="仿宋_GB2312"/>
          <w:b w:val="0"/>
          <w:sz w:val="32"/>
        </w:rPr>
        <w:t>6.卫生健康支出（类）行政事业单位医疗（款）行政单位医疗（项）：支出决算数为30.48万元，比上年决算增加3.88万元，增长14.59%，主要原因是：本年在职人员工资基数调增，医疗缴费基数上涨，相应支出增加。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1.91万元，比上年决算增加0.25万元，增长15.06%，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8.卫生健康支出（类）行政事业单位医疗（款）其他行政事业单位医疗支出（项）：支出决算数为0.44万元，比上年决算增加0.00万元，增长0.00%，主要原因是：本年其他行政事业单位医疗与上年无变化。</w:t>
      </w:r>
    </w:p>
    <w:p>
      <w:pPr>
        <w:spacing w:line="580" w:lineRule="exact"/>
        <w:ind w:firstLine="640"/>
        <w:jc w:val="both"/>
      </w:pPr>
      <w:r>
        <w:rPr>
          <w:rFonts w:ascii="仿宋_GB2312" w:hAnsi="仿宋_GB2312" w:eastAsia="仿宋_GB2312"/>
          <w:b w:val="0"/>
          <w:sz w:val="32"/>
        </w:rPr>
        <w:t>9.资源勘探工业信息等支出（类）制造业（款）通信设备、计算机及其他电子设备制造业（项）：支出决算数为5.23万元，比上年决算增加5.23万元，增长100.00%，主要原因是：本年增加专项项目，相应支出增加。</w:t>
      </w:r>
    </w:p>
    <w:p>
      <w:pPr>
        <w:spacing w:line="580" w:lineRule="exact"/>
        <w:ind w:firstLine="640"/>
        <w:jc w:val="both"/>
      </w:pPr>
      <w:r>
        <w:rPr>
          <w:rFonts w:ascii="仿宋_GB2312" w:hAnsi="仿宋_GB2312" w:eastAsia="仿宋_GB2312"/>
          <w:b w:val="0"/>
          <w:sz w:val="32"/>
        </w:rPr>
        <w:t>10.资源勘探工业信息等支出（类）工业和信息产业监管（款）工程建设及运行维护（项）：支出决算数为0.00万元，比上年决算减少1,000.00万元，下降100.00%，主要原因是：本年减少2024年自治区第十批地方政府债券转贷资金，相应支出减少。</w:t>
      </w:r>
    </w:p>
    <w:p>
      <w:pPr>
        <w:spacing w:line="580" w:lineRule="exact"/>
        <w:ind w:firstLine="640"/>
        <w:jc w:val="both"/>
      </w:pPr>
      <w:r>
        <w:rPr>
          <w:rFonts w:ascii="仿宋_GB2312" w:hAnsi="仿宋_GB2312" w:eastAsia="仿宋_GB2312"/>
          <w:b w:val="0"/>
          <w:sz w:val="32"/>
        </w:rPr>
        <w:t>11.资源勘探工业信息等支出（类）支持中小企业发展和管理支出（款）中小企业发展专项（项）：支出决算数为5,327.15万元，比上年决算增加4,838.15万元，增长989.40%，主要原因是：本年增加2024年中小企业数字化转型城市试点（第一批）奖补资金，中央财政2024年中小企业数字化转型城市试点奖补资金预算（第二批）、州工信局中小企业数字化转型本级配套资金导致经费较上年增加。</w:t>
      </w:r>
    </w:p>
    <w:p>
      <w:pPr>
        <w:spacing w:line="580" w:lineRule="exact"/>
        <w:ind w:firstLine="640"/>
        <w:jc w:val="both"/>
      </w:pPr>
      <w:r>
        <w:rPr>
          <w:rFonts w:ascii="仿宋_GB2312" w:hAnsi="仿宋_GB2312" w:eastAsia="仿宋_GB2312"/>
          <w:b w:val="0"/>
          <w:sz w:val="32"/>
        </w:rPr>
        <w:t>12.住房保障支出（类）住房改革支出（款）住房公积金（项）：支出决算数为49.32万元，比上年决算增加6.70万元，增长15.72%，主要原因是：本年在职人员工资基数调增，公积金缴费基数上涨，相应支出增加。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13.灾害防治及应急管理支出（类）应急管理事务（款）其他应急管理支出（项）：支出决算数为3.00万元，比上年决算减少29.50万元，下降90.77%，主要原因是：本年减少昌吉州安全生产和消防工作先进单位项目经费，导致经费较上年减少。</w:t>
      </w:r>
    </w:p>
    <w:p>
      <w:pPr>
        <w:spacing w:line="580" w:lineRule="exact"/>
        <w:ind w:firstLine="640"/>
        <w:jc w:val="both"/>
      </w:pPr>
      <w:r>
        <w:rPr>
          <w:rFonts w:ascii="仿宋_GB2312" w:hAnsi="仿宋_GB2312" w:eastAsia="仿宋_GB2312"/>
          <w:b w:val="0"/>
          <w:sz w:val="32"/>
        </w:rPr>
        <w:t>14.其他支出（类）其他支出（款）其他支出（项）：支出决算数为8.00万元，比上年决算减少0.63万元，下降7.30%，主要原因是：本年为民办实事工作经费支出较上年减少，导致经费较上年减少。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2025年度一般公共预算财政拨款基本支出770.76万元，其中：</w:t>
      </w:r>
      <w:r>
        <w:rPr>
          <w:rFonts w:ascii="仿宋_GB2312" w:hAnsi="仿宋_GB2312" w:eastAsia="仿宋_GB2312"/>
          <w:b/>
          <w:sz w:val="32"/>
        </w:rPr>
        <w:t>人员经费711.96万元，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离休费、退休费、抚恤金、生活补助、奖励金、其他对个人和家庭的补助。</w:t>
      </w:r>
    </w:p>
    <w:p>
      <w:pPr>
        <w:spacing w:line="580" w:lineRule="exact"/>
        <w:ind w:firstLine="640"/>
        <w:jc w:val="both"/>
      </w:pPr>
      <w:r>
        <w:rPr>
          <w:rFonts w:ascii="仿宋_GB2312" w:hAnsi="仿宋_GB2312" w:eastAsia="仿宋_GB2312"/>
          <w:b/>
          <w:sz w:val="32"/>
        </w:rPr>
        <w:t>公用经费58.80万元，</w:t>
      </w:r>
      <w:r>
        <w:rPr>
          <w:rFonts w:ascii="仿宋_GB2312" w:hAnsi="仿宋_GB2312" w:eastAsia="仿宋_GB2312"/>
          <w:b w:val="0"/>
          <w:sz w:val="32"/>
        </w:rPr>
        <w:t>包括：办公费、印刷费、邮电费、差旅费、维修（护）费、公务接待费、劳务费、委托业务费、工会经费、福利费、公务用车运行维护费、其他商品和服务支出。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2025年度财政拨款“三公”经费支出10.21万元，</w:t>
      </w:r>
      <w:r>
        <w:rPr>
          <w:rFonts w:ascii="仿宋_GB2312" w:hAnsi="仿宋_GB2312" w:eastAsia="仿宋_GB2312"/>
          <w:b w:val="0"/>
          <w:sz w:val="32"/>
        </w:rPr>
        <w:t>比上年减少0.15万元，下降1.45%，主要原因是：严格落实中央八项规定精神，厉行节约，减少公务用车运行维护费、公务接待费。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公务用车购置及运行维护费支出9.92万元，占97.16%，比上年减少0.08万元，下降0.80%，主要原因是：严格落实中央八项规定精神，厉行节约，减少公务用车运行维护费。</w:t>
      </w:r>
      <w:r>
        <w:rPr>
          <w:rFonts w:ascii="仿宋_GB2312" w:hAnsi="仿宋_GB2312" w:eastAsia="仿宋_GB2312"/>
          <w:b w:val="0"/>
          <w:sz w:val="32"/>
        </w:rPr>
        <w:t>公务接待费支出0.29万元，占2.84%，比上年减少0.07万元，下降19.44%，主要原因是：严格落实中央八项规定精神，厉行节约，减少公务接待费。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9.92万元，其中：公务用车购置费0.00万元，公务用车运行维护费9.92万元。公务用车运行维护费开支内容包括车辆加油费、维修费、保险费、审车费、过路费等。公务用车购置数0辆，公务用车保有量4辆。国有资产占用情况中固定资产车辆4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公务接待费0.29万元，开支内容包括因工作需要，接待上级领导检查产生的就餐费。单位全年安排的国内公务接待2批次，19人次。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10.21万元，决算数10.21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9.92万元，决算数9.92万元，预决算差异率0.00%，主要原因是：严格按照预算执行，预决算无差异。公务接待费全年预算数0.29万元，决算数0.29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工业和信息化局（行政单位和参照公务员法管理事业单位）机关运行经费支出58.80万元，比上年增加0.29万元，增长0.50%，主要原因是：本年更新、维护补充办公用品，导致机关运行经费较上年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2025年度政府采购支出总额1,144.96万元，其中：政府采购货物支出6.91万元、政府采购工程支出0.00万元、政府采购服务支出1,138.05万元。</w:t>
      </w:r>
    </w:p>
    <w:p>
      <w:pPr>
        <w:spacing w:line="580" w:lineRule="exact"/>
        <w:ind w:firstLine="640"/>
        <w:jc w:val="both"/>
      </w:pPr>
      <w:r>
        <w:rPr>
          <w:rFonts w:ascii="仿宋_GB2312" w:hAnsi="仿宋_GB2312" w:eastAsia="仿宋_GB2312"/>
          <w:b w:val="0"/>
          <w:sz w:val="32"/>
        </w:rPr>
        <w:t>授予中小企业合同金额1,144.96万元，占政府采购支出总额的100.00%，其中：授予小微企业合同金额622.48万元，占政府采购支出总额的54.37%。</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4辆，价值90.12万元，其中：副部（省）级及以上领导用车0辆、主要负责人用车0辆、机要通信用车0辆、应急保障用车0辆、执法执勤用车0辆、特种专业技术用车0辆、离退休干部服务用车0辆、其他用车4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8,193.27万元，实际执行总额8,193.27万元；预算绩效评价项目11个，全年预算数6,879.93万元，全年执行数6,812.33万元。预算绩效管理取得的成效：一是制度建设完全，相关制度严格执行，经费到位及时，项目资金按计划使用，严格按照预算管理规定开支，及时支付项目款；二是坚持先做事、后验收、再拨付的原则，基本杜绝了资金被挤占和挪用现象的发生。发现的问题及原因：一是本年在资金申请工作中存在部分问题，本级追加资金未能拨付，要积极主动联系财政部门确保资金及时落实到位；二是进一步按照国家有关财务规章制度规定加强资金使用管理，确保资金用到实处，工作有序的开展，加强自身建设，提高服务能力。下一步改进措施：一是资金管理方面，加强对预算的监督管理，同时加强预算资金管理的执行力度，完善预算资金的监督体系，要加强各部门之间的联系，使各部门共同参与财政预算资金监督管理，强化单位财政资金的跟踪监察，对资金的申报、拨付及使用情况进行监管。二是加强部门决策、完善工作机制、发挥履职效能、优化支出结构、提高资金使用效益等角度出发，提出高层次的措施建议，不要局限于具体的资金支出或日常工作。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5,462.95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5,462.95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1,864.72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2,691.60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2,691.60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1,864.72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8,193.27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8,193.27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聚力稳盘托底，促进工业经济平稳增长；聚力扩大投资，夯实经济发展硬支撑；聚力锻长补短，构建现代化产业体系；聚力优势互补，育强产业发展平台；聚力创新驱动，推动“专精特新”发展；聚力转型升级，推进“一转带三化”；聚力营商生态，助推企业提质增效。</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8,193.27万元，资金执行率100%，本项目完成：新培育专精特新中小企业数量30家，制定2份研究报告，完成重点区域公共基础建设配套电源建设69套。规上工业增加值同比增长12%。通过项目完成聚力稳盘托底，促进工业经济平稳增长；聚力扩大投资，夯实经济发展硬支撑；聚力锻长补短，构建现代化产业体系；聚力优势互补，育强产业发展平台；聚力创新驱动，推动“专精特新”发展；聚力转型升级，推进“一转带三化”；聚力营商生态，助推企业提质增效。</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新培育专精特新中小企业数量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自治区人民政府办公厅关于印发《自治区专精特新中小企业倍增培育行动计划（2023-2025年）》的通知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制定研究报告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昌吉州发展改革委关于下达2024年第二批州级预算内前期费投资计划的通知（昌州发改投资【2024】173号）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完成重点区域公共基础建设配套电源建设</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&gt;=69个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关于下达2024年自治区第十批地方政府债卷转贷资金的通知（昌州财服【2024】24号）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69个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规上工业增加值同比增长</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昌吉州2025年工业和信息化工作会议上的讲话</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2024年中小企业数字化转型城市试点奖补资金预算（第二批）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5,290.76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5,290.76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5,290.76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5,290.76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5,290.76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5,290.76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本项目计划投入 5290.76 万元，项目计划完成 169 家数字化改造试点企业验收通过工作，落实 169 家试点企业数字化改造奖补政策，实现数字化改造试点县市全域覆盖。通过项目的实施，可以完善工业企业数字化改造扶持政策体系，降低企业转型升级成本；提升工业企业生产智能化、管理数字化整体能力；保障昌吉州工业企业持续开展智改数转、产业结构优化升级。</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截至2025年12月31日，本项目支出资金5290.76万元，资金执行率100%，本项目实际完成完成数字化改造试点奖补企业数量169家、数字化改造试点县市覆盖率100%；通过本项目的实施，有效推动企业持续开展智改数转型。</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数字化改造试点验收通过企业数量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&gt;=169家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完成数字化改造试点奖补企业数量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&gt;=169家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=169家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数字化改造试点县市覆盖率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数字化改造的试点企业奖补资金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&lt;=4926.96万元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=4926.96万元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验收评测业务成本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&lt;=363.80万元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=383.9万元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推动企业持续开展智改数转型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2024年中小企业数字化转型城市试点（第一批）奖补资金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293.40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 2026 年计划投入 293.4 万元，项目计划开展 16 个政策解读推广活动，举办 10 期数字化转型专题培训班，编制提交 17 份数字化转型城市试点工作文件。通过项目的实施，可以拓宽数字化转型政策宣传覆盖面，完善试点工作文案支撑体系；提升中小企业数字化转型认知程度和专业从业水平；保障昌吉州中小企业数字化改造建设稳步推进、服务经济社会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293.4万元，资金执行率100%，本项目实际完成完成开展政策解读推广活动次数16次、举办专题培训期数10期、提交数字化转型城市试点工作文件17份、专题培训出勤率100%完成、2025年 12月10日前完成项目、开展政策解读推广活动费用60万元、举办专题培训费用50万元、提交数字化转型城市试点工作费用130万元，其他运转经费53.4万元；通过本项目的实施，显著推昌吉州中小企业数字化改造建设，提高中小企业的数字化水平，为经济社会发展提供决策参考。</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开展政策解读推广活动次数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举办专题培训期数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提交数字化转型城市试点工作文件数量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&gt;=17份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专题培训出勤率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2024年12月20日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开展政策解读推广活动费用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举办专题培训费用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提交数字化转型城市试点工作费用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其他运转经费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推进昌吉州中小企业数字化改造建设，提高中小企业的数字化水平，为经济社会发展提供决策参考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计划投入539万元，完成支持新认定的自治区级企业技术中心9家，庭州人才项目24个，企业技术中心组织体系健全率，完成资金拨付2024年度新认定9家自治区企业技术中心总额180万元的奖补经费，2023年度庭州制造业人才项目资金22人22万元，2024年庭州优秀工程师项目资金10人30万元，第七批州级人才工作室9个共计27万元，2024年州级重点人才项目15个280万元，对行业技术创新升级的起到有效推动作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536万元，资金执行率99.44%。项目完成支持新认定的自治区级企业技术中心9家，庭州人才项目24个，企业技术中心组织体系健全率，完成资金拨付2024年度新认定9家自治区企业技术中心总额180万元的奖补经费，2023年度庭州制造业人才项目资金22人22万元，2024年庭州优秀工程师项目资金10人30万元，第七批州级人才工作室9个共计27万元，2024年州级重点人才项目15个280万元，对行业技术创新升级的起到有效推动作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支持新认定的自治区级企业技术中心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庭州人才项目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企业技术中心组织体系健全率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庭州人才奖补资金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此项指标已完成，存在偏差，偏差率为0.84%，偏差原因为：人才资金发放中，由一个人员去世，不予发放。</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自治区企业技术中心奖补资金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对行业技术创新升级的推动作用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企业对政策支持的满意度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置该指标仅参照往年政策兑现效率预估，本年度加大惠企政策线下宣讲力度，开设线上申报绿色通道，安排专员全程协助企业办理补贴申领，扶持资金兑现速度大幅提升，企业诉求均可快速处置，政策服务成效超出预期，满意度调查结果显著高于既定目标； 下一年度改进措施：结合本年度企业满意度调研实际数据，科学上调该项指标年度考核标准，常态化开展企业上门走访，广泛征集政策优化意见，持续简化政策申报流程，细化各类扶持细则，长效优化惠企服务，稳固维持企业高满意度水平。</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“庭州英才”人才工作经费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60万元。2025年计划发放奖金人数20人，奖金发放次数1次，奖金发放准确率100%，奖金按每人3万元标准发放，2025年12月10日发放完成。通过项目的实施，一是构建人才发展战略，明确人才发展规划，确立以能力为导向的人才发展路径；二是优化人才结构，引导企业增加高级管理人才、专业技术人才级创新型人才比例，形成合理人才梯队；三是提升人才质量，鼓励创新思维和终身学习；四是建立人才激励机制，激发人才潜能，降低人才流失率。经过筛选、挖掘并培养一批具有创新精神、实践能力和团队合作精神的高素质人才，进一步建立完善我州人才培养体系。该项目按照《昌吉州庭州制造业人才育才专项行动实施办法》要求，由州工业和信息化局负责牵头组织实施，州人社局、国资委配合实施，围绕自治州制造业领域，通过提供培养载体、培养经费和特殊支持，有计划地遴选培养一批创新企业家、制造业技术人才、基础工艺人才。</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60万元，资金执行率100%，项目完成发放奖金20人，奖金发放次数1次，奖金发放准确率100%，奖金按每人3万元标准发放。通过项目的实施通过项目的实施，优化人才结构，引导企业增加高级管理人才、专业技术人才级创新型人才比例，形成合理人才梯队；提升人才质量，鼓励创新思维和终身学习；建立人才激励机制，激发人才潜能，降低人才流失率。经过筛选、挖掘并培养一批具有创新精神、实践能力和团队合作精神的高素质人才，进一步建立完善我州人才培养体系。</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奖金发放标准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提升产业水平，引领产业发展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获奖人员满意度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州工信局申请追加援疆经费（党建指导专题培训）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投入3.8万元，组织各县(市)分管非公有制企业党建工作业务骨干、非公有制企业党务工作者(党建指导员）、非公企业党建专项组成员单位党建业务骨干共38人，开展为期5天的专题培训班。通过项目的实施，进一步提升非公企业党建工作者政策理论水平和履职能力，进一步加强党在非公有制经济领域的领导，推动非公有制企业健康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3.8万元，资金执行率100%，本项目组织各县(市)分管非公有制企业党建工作业务骨干、非公有制企业党务工作者(党建指导员）、非公企业党建专项组成员单位党建业务骨干共38人，开展为期5天的专题培训班。通过项目的实施，进一步提升非公企业党建工作者政策理论水平和履职能力，进一步加强党在非公有制经济领域的领导，推动非公有制企业健康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举办培训的班次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学员培训参加率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&lt;=200元/每天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=200元/每天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拓展非公企业党建工作者工作方式方法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有效拓展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工信局追加2025年单位资金预算（“三交”活动经费）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31.87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计划投入31.88万元，举办1次培训班，结合理论与实践教学，撰写活动总结1份，95%学员参加培训，100%完成培训计划，拓展非公企业党建工作者工作方式方法。推动昌吉州非公党建交往交流交融。该项目组织各县市（园区）党工委、非公企业党务工作人员40名，赴福建泉州、厦门等地开展“三交”活动。学习借鉴内地非公企业党建促发展的好经验好做法，促进两地非公有制企业党建经验共享，提升我州非公有制企业党务工作者业务能力和综合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31.87万元，资金执行率100%，本项目实际完成举办培训班1期、结合理论与实践教学，撰写活动总结1篇，学员培训参加率100%、培训计划完成率100%；通过本项目的实施，拓展非公企业党建工作者工作方式方法，推动昌吉州非公党建交往交流交融。</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举办培训的班次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结合理论与实践教学，撰写活动总结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学员培训参加率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学员培训参加率指标时预估偏保守，目标标准设置偏低。培训前期宣传动员到位，参训人员思想重视程度高，同时合理统筹工作与参训时间，人员到岗参训秩序良好，全员参与积极性较强，实际参训占比远超预设指标数值。 下一步改进措施：统计历次参训数据综合分析参与情况，结合实际出勤水准合理上调考核目标。持续做好参训统筹安排，强化参训纪律管理，以更高指标要求稳固参训参与质量。</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培训计划完成率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拓展非公企业党建工作者工作方式方法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拓展</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推动昌吉州非公党建交往交流交融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是：年初设定学员满意度考核目标时标准较为保守，预判实际评价水平偏低。培训课程贴合岗位实操需求，授课内容实用性强，教学安排紧凑合理，后勤保障服务到位，学员收获感充足，整体评价向好，实际满意度高出既定目标。 下一步改进措施：收集汇总学员评价意见，客观衡量培训综合质量，科学上调考核目标值。持续优化课程内容与授课形式，补齐细节短板，以更高标准组织开展培训，稳步提升办学育人成效。</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昌吉州工信局非公有制企业党建工作暨党建指导员培训班培训经费（援疆经费）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2025年计划开展：举办培训班1个，培训时长为4天，按时开展培训班达到100%，培训班食宿费用2.59万元，培训班管理、后勤等费用0.45万元。推动非公企业党建工作水平的整体提升提供有力参考。学员满意度达到90%。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截至2025年12月31日，本项目支出资金3.04万元，资金执行率100%，本项目实际完成举办培训班1个、培训办举办4天、培训班保障率100%。通过本项目的实施，有效提升非公企业党建工作水平。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2025年3月12日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培训班食宿费用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培训班管理、后勤等费用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提升非公企业党建工作水平。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达到指标值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昌吉州数字政府—大数据运营管理调度中心项目尾款</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LED大屏及配套硬件设施采购和安装20套，LED大屏及配套硬件设施采购和安装验收合格率达到100%，LED大屏及配套硬件设施采购和安装完成及时率达到100%，项目硬件设备尾款380.97万元。单位预算成本控制率达到100%。持续提升2023-2025年社会效益影响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316.55万元，资金执行率83.09%，LED大屏及配套硬件设施采购和安装20套，LED大屏及配套硬件设施采购和安装验收合格率达到100%，LED大屏及配套硬件设施采购和安装完成及时率达到100%。单位预算成本控制率达到100%。通过项目的实施持续提升2023-2025年社会效益影响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LED大屏及配套硬件设施采购和安装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LED大屏及配套硬件设施采购和安装验收合格率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实施采购完成时间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=2025年5月23日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项目硬件设备尾款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&lt;=380.97万元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=316.55万元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83.09%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持续提升2023-2025年社会效益影响力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单位使用满意度（%）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87.31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昌吉州贯彻落实自治区“3+1”战略规划推动优势产业集群建设专题研讨班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取分段式教学的形式开展学习培训。其中，11天在福建省学习，1天在州党委党校开展述学活动。贯彻落实党的二十届三中全会关于加快推进新型工业化精神，重点围绕产业变迁与产业集群发展的规律特点，以及战略性新兴产业、未来产业发展的机遇前景进行培训，全面提高领导干部推动优势产业集群建设的能力和水平。举办培训班1班次，培训天数12天，参加培训班人数7人，培训班出勤率100%，2025年5月23日完成培训班，培训班食宿费用11.94万元。培训班管理、后勤等费用15.15万元。提高领导干部推动优势产业集群建设的能力和水平。学员满意度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27.09万元，资金执行率100%，本项目实际完成举办培训班1期、培训12天，37人参加培训班、培训办出勤率100%；通过本项目的实施，提高领导干部推动优势产业集群建设的能力和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举办培训班次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正式材料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培训班食宿费用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培训班管理费用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提高领导干部推动优势产业集群建设的能力和水平。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达到绩效目标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昌吉州重点区域公共基础设施配套电源建设项目资金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90.86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90.86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项目工作任务为编制可行性研究报告1份，编制勘察设计文件1份，草场补贴站点数3个。完成69套太阳能建设，其中负载功率1500瓦太阳能40套，负载功率3000瓦太阳能29套。有效提升昌吉州重点区域公共基础设施配套电源、移动网络通信覆盖和应用水平，推动州域重点景区、道路及易发地质灾害地区的无线通信能力、应急管理治理能力及旅游景区管理服务水平建设，促进昌吉经济社会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200万元，资金执行率100%。项目完成可行性研究报告1份，编制勘察设计文件1份，草场补贴站点数3个。完成69套太阳能建设，其中负载功率1500瓦太阳能40套，负载功率3000瓦太阳能29套。有效提升了昌吉州重点区域公共基础设施配套电源、移动网络通信覆盖和应用水平，推动州域重点景区、道路及易发地质灾害地区的无线通信能力、应急管理治理能力及旅游景区管理服务水平建设，促进昌吉经济社会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编制可行性研究报告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编制勘察设计文件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草场补贴站点数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项目可行性研究报告通过率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勘察设计费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可研编制及监理费用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&lt;=23.96万元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支付工程测绘费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支付预备费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&lt;=37.04万元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提升昌吉州通信能力建设、应急管理治理能力及旅游景区的管理和服务水平，促进昌吉州旅游业的可持续发展。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主管科室满意度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昌吉回族自治州工业和信息化局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49.82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保障办公人员数量26人，开展整理档案工作1次，办公用品采购完成率达到100%，监督检查县市覆盖率达到100%。经费支付及时率达到100%。通过该项目的实施保障部门单位运转正常，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49.82万元，资金执行率99.64%。项目完成保障办公人员数量26人，开展整理档案工作1次，办公用品采购完成率达到100%，监督检查县市覆盖率达到100%。经费支付及时率达到100%。通过该项目的实施保障部门单位运转正常，提高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开展整理档案工作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监督检查县市覆盖率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调研、检查、督查类费用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在设定指标时，未充分参考往期项目的平均执行水平或行业先进标准，仅凭主观经验设定了较低的“安全线”，因此实际完成值高于目标设定值 ，故而产生偏差；下一年度改进措施：下一年度指标设置将建立在详实的数据分析基础上。将参考近三年的平均增长率或同行业先进水平进行测算，确保指标值能够客观反映项目应达到的产出效率，从而减小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档案整理服务费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在设定指标时，未充分参考往期项目的平均执行水平或行业先进标准，仅凭主观经验设定了较低的“安全线”，因此实际完成值高于目标设定值 ，故而产生偏差；下一年度改进措施：下一年度指标设置将建立在详实的数据分析基础上。将参考近三年的平均增长率或同行业先进水平进行测算，确保指标值能够客观反映项目应达到的产出效率，从而减小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保障单位正常运转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131.9%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 在制定量化指标时，未采用科学的测算方法，仅凭经验或主观意愿设定了较高的预期值，导致实际完成率与目标值存在较大差距；下一年度改进措施：在预算申报阶段，组织专家对绩效目标进行评估，重点审核目标值与预算规模、实施条件的匹配度，剔除不切实际的“高指标”，确保绩效目标落地可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本年本单位其他项目1个，全年预算数5万元，全年执行数5万元。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