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昌吉回族自治州工商业联合会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工商业联合会是中国共产党领导的以非公有制企业和非公有制经济人士为主体，具有统战性、经济性、民间性有机统一基本特征的人民团体和商会组织，是党和政府联系非公有制经济人士的桥梁纽带，是政府管理和服务非公有制经济的助手，是中国人民政治协商会议的重要组成部分。工商联工作是党的统一战线工作和经济工作的重要内容。工商联事业是中国特色社会主义事业的重要组成部分。</w:t>
      </w:r>
    </w:p>
    <w:p>
      <w:pPr>
        <w:spacing w:line="580" w:lineRule="exact"/>
        <w:ind w:firstLine="640"/>
        <w:jc w:val="both"/>
      </w:pPr>
      <w:r>
        <w:rPr>
          <w:rFonts w:ascii="仿宋_GB2312" w:hAnsi="仿宋_GB2312" w:eastAsia="仿宋_GB2312"/>
          <w:sz w:val="32"/>
        </w:rPr>
        <w:t>昌吉回族自治州工商业联合会职能和任务。</w:t>
      </w:r>
    </w:p>
    <w:p>
      <w:pPr>
        <w:spacing w:line="580" w:lineRule="exact"/>
        <w:ind w:firstLine="640"/>
        <w:jc w:val="both"/>
      </w:pPr>
      <w:r>
        <w:rPr>
          <w:rFonts w:ascii="仿宋_GB2312" w:hAnsi="仿宋_GB2312" w:eastAsia="仿宋_GB2312"/>
          <w:sz w:val="32"/>
        </w:rPr>
        <w:t>第一条、加强和改进非公有制经济人士思想政治工作。</w:t>
      </w:r>
    </w:p>
    <w:p>
      <w:pPr>
        <w:spacing w:line="580" w:lineRule="exact"/>
        <w:ind w:firstLine="640"/>
        <w:jc w:val="both"/>
      </w:pPr>
      <w:r>
        <w:rPr>
          <w:rFonts w:ascii="仿宋_GB2312" w:hAnsi="仿宋_GB2312" w:eastAsia="仿宋_GB2312"/>
          <w:sz w:val="32"/>
        </w:rPr>
        <w:t>（一）开展理想信念教育，引导非公有制经济人士加强自我学习、自我教育、自我提升，学习贯彻党和国家的方针政策，继承和发扬听党话、跟党走的光荣传统，践行社会主义核心价值观，增强对中国特色社会主义的信念、对党和政府的信任、对企业发展的信心、对社会的信誉，自觉做爱国敬业、守法经营、创业创新、回报社会的表率和践行亲清新型政商关系的典范，在全面建成社会主义现代化强国的新征程上贡献智慧和力量。宣传表彰先进典型，弘扬优秀企业家精神，注重对年轻一代非公有制经济人士的教育培养。</w:t>
      </w:r>
    </w:p>
    <w:p>
      <w:pPr>
        <w:spacing w:line="580" w:lineRule="exact"/>
        <w:ind w:firstLine="640"/>
        <w:jc w:val="both"/>
      </w:pPr>
      <w:r>
        <w:rPr>
          <w:rFonts w:ascii="仿宋_GB2312" w:hAnsi="仿宋_GB2312" w:eastAsia="仿宋_GB2312"/>
          <w:sz w:val="32"/>
        </w:rPr>
        <w:t>（二）引导非公有制经济人士自觉把自身企业的发展与国家的发展结合起来，把个人富裕与全体人民的共同富裕结合起来，把遵循市场法则与发扬社会主义道德结合起来，弘扬中华传统美德，弘扬时代新风，树立义利兼顾、以义为先理念，致富思源、富而思进，自觉投身光彩事业、“万企帮万村”精准扶贫行动和其他社会公益慈善事业，积极履行社会责任。</w:t>
      </w:r>
    </w:p>
    <w:p>
      <w:pPr>
        <w:spacing w:line="580" w:lineRule="exact"/>
        <w:ind w:firstLine="640"/>
        <w:jc w:val="both"/>
      </w:pPr>
      <w:r>
        <w:rPr>
          <w:rFonts w:ascii="仿宋_GB2312" w:hAnsi="仿宋_GB2312" w:eastAsia="仿宋_GB2312"/>
          <w:sz w:val="32"/>
        </w:rPr>
        <w:t>（三）按照同级党委安排参与非公有制企业党建工作，引导非公有制经济人士支持企业党建工作、在企业建立工会等群团组织，并为其开展活动、发挥作用提供必要条件，加强企业文化建设。第二条、参与政治协商，发挥民主监督作用，积极参政议政。</w:t>
      </w:r>
    </w:p>
    <w:p>
      <w:pPr>
        <w:spacing w:line="580" w:lineRule="exact"/>
        <w:ind w:firstLine="640"/>
        <w:jc w:val="both"/>
      </w:pPr>
      <w:r>
        <w:rPr>
          <w:rFonts w:ascii="仿宋_GB2312" w:hAnsi="仿宋_GB2312" w:eastAsia="仿宋_GB2312"/>
          <w:sz w:val="32"/>
        </w:rPr>
        <w:t>（一）围绕贯彻落实党的路线方针政策，开展调查研究，参与国家有关政策、法律法规的制定，协助推动落实有关政策措施，促进形成有利于非公有制经济发展的政策环境、法治环境、市场环境、社会环境。</w:t>
      </w:r>
    </w:p>
    <w:p>
      <w:pPr>
        <w:spacing w:line="580" w:lineRule="exact"/>
        <w:ind w:firstLine="640"/>
        <w:jc w:val="both"/>
      </w:pPr>
      <w:r>
        <w:rPr>
          <w:rFonts w:ascii="仿宋_GB2312" w:hAnsi="仿宋_GB2312" w:eastAsia="仿宋_GB2312"/>
          <w:sz w:val="32"/>
        </w:rPr>
        <w:t>（二）密切同非公有制经济人士的联系，深入了解他们的意愿和要求，向党和政府提出相关意见和建议。</w:t>
      </w:r>
    </w:p>
    <w:p>
      <w:pPr>
        <w:spacing w:line="580" w:lineRule="exact"/>
        <w:ind w:firstLine="640"/>
        <w:jc w:val="both"/>
      </w:pPr>
      <w:r>
        <w:rPr>
          <w:rFonts w:ascii="仿宋_GB2312" w:hAnsi="仿宋_GB2312" w:eastAsia="仿宋_GB2312"/>
          <w:sz w:val="32"/>
        </w:rPr>
        <w:t>（三）畅通非公有制经济代表人士有序参与政治生活和社会事务的渠道，帮助其提高议政建言水平，积极反映社情民意。</w:t>
      </w:r>
    </w:p>
    <w:p>
      <w:pPr>
        <w:spacing w:line="580" w:lineRule="exact"/>
        <w:ind w:firstLine="640"/>
        <w:jc w:val="both"/>
      </w:pPr>
      <w:r>
        <w:rPr>
          <w:rFonts w:ascii="仿宋_GB2312" w:hAnsi="仿宋_GB2312" w:eastAsia="仿宋_GB2312"/>
          <w:sz w:val="32"/>
        </w:rPr>
        <w:t>（四）按照思想政治强、行业代表性强、参政议政能力强、社会信誉好的标准，做好非公有制经济代表人士的发现、培养、推荐和管理工作。第三条、协助政府管理和服务非公有制经济。</w:t>
      </w:r>
    </w:p>
    <w:p>
      <w:pPr>
        <w:spacing w:line="580" w:lineRule="exact"/>
        <w:ind w:firstLine="640"/>
        <w:jc w:val="both"/>
      </w:pPr>
      <w:r>
        <w:rPr>
          <w:rFonts w:ascii="仿宋_GB2312" w:hAnsi="仿宋_GB2312" w:eastAsia="仿宋_GB2312"/>
          <w:sz w:val="32"/>
        </w:rPr>
        <w:t>（一）积极探索建立适应社会主义市场经济要求的服务载体和机制，为非公有制企业提供政策咨询、信息、法律、投融资、技术、人才等方面服务，引导非公有制企业贯彻新发展理念，投身供给侧结构性改革，建立完善现代企业制度，加强自主创新，加快转型升级和提质增效，努力促进国民经济更高质量、更有效率、更加公平、更可持续发展。</w:t>
      </w:r>
    </w:p>
    <w:p>
      <w:pPr>
        <w:spacing w:line="580" w:lineRule="exact"/>
        <w:ind w:firstLine="640"/>
        <w:jc w:val="both"/>
      </w:pPr>
      <w:r>
        <w:rPr>
          <w:rFonts w:ascii="仿宋_GB2312" w:hAnsi="仿宋_GB2312" w:eastAsia="仿宋_GB2312"/>
          <w:sz w:val="32"/>
        </w:rPr>
        <w:t>（二）加强与香港特别行政区、澳门特别行政区和台湾地区工商界的联系，促进经贸合作。积极开展民间外交，加强同国外工商界的交流合作，为非公有制企业参与“一带一路”建设、开展国际合作提供服务。</w:t>
      </w:r>
    </w:p>
    <w:p>
      <w:pPr>
        <w:spacing w:line="580" w:lineRule="exact"/>
        <w:ind w:firstLine="640"/>
        <w:jc w:val="both"/>
      </w:pPr>
      <w:r>
        <w:rPr>
          <w:rFonts w:ascii="仿宋_GB2312" w:hAnsi="仿宋_GB2312" w:eastAsia="仿宋_GB2312"/>
          <w:sz w:val="32"/>
        </w:rPr>
        <w:t>（三）组织非公有制企业参与实施区域协调发展战略，为地方经济建设服务，促进城乡、区域统筹协调发展。</w:t>
      </w:r>
    </w:p>
    <w:p>
      <w:pPr>
        <w:spacing w:line="580" w:lineRule="exact"/>
        <w:ind w:firstLine="640"/>
        <w:jc w:val="both"/>
      </w:pPr>
      <w:r>
        <w:rPr>
          <w:rFonts w:ascii="仿宋_GB2312" w:hAnsi="仿宋_GB2312" w:eastAsia="仿宋_GB2312"/>
          <w:sz w:val="32"/>
        </w:rPr>
        <w:t>（四）承办政府和有关部门委托的第三方评估等事项。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昌吉回族自治州工商业联合会无下属预算单位。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2025年度收入总计383.98万元，</w:t>
      </w:r>
      <w:r>
        <w:rPr>
          <w:rFonts w:ascii="仿宋_GB2312" w:hAnsi="仿宋_GB2312" w:eastAsia="仿宋_GB2312"/>
          <w:b w:val="0"/>
          <w:sz w:val="32"/>
        </w:rPr>
        <w:t>其中：本年收入合计338.25万元，使用非财政拨款结余（含专用结余）0.00万元，年初结转和结余45.73万元。</w:t>
      </w:r>
    </w:p>
    <w:p>
      <w:pPr>
        <w:spacing w:line="580" w:lineRule="exact"/>
        <w:ind w:firstLine="640"/>
        <w:jc w:val="both"/>
      </w:pPr>
      <w:r>
        <w:rPr>
          <w:rFonts w:ascii="仿宋_GB2312" w:hAnsi="仿宋_GB2312" w:eastAsia="仿宋_GB2312"/>
          <w:b/>
          <w:sz w:val="32"/>
        </w:rPr>
        <w:t>2025年度支出总计383.98万元，</w:t>
      </w:r>
      <w:r>
        <w:rPr>
          <w:rFonts w:ascii="仿宋_GB2312" w:hAnsi="仿宋_GB2312" w:eastAsia="仿宋_GB2312"/>
          <w:b w:val="0"/>
          <w:sz w:val="32"/>
        </w:rPr>
        <w:t>其中：本年支出合计338.23万元，结余分配0.00万元，年末结转和结余45.75万元。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增加43.05万元，增长12.63%，主要原因是：本年在职人员工资调增，社保、公积金基数调增，人员经费增加。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本年收入338.25万元，</w:t>
      </w:r>
      <w:r>
        <w:rPr>
          <w:rFonts w:ascii="仿宋_GB2312" w:hAnsi="仿宋_GB2312" w:eastAsia="仿宋_GB2312"/>
          <w:b w:val="0"/>
          <w:sz w:val="32"/>
        </w:rPr>
        <w:t>其中：财政拨款收入338.23万元，占99.99%；上级补助收入0.00万元，占0.00%；事业收入0.00万元，占0.00%；经营收入0.00万元，占0.00%；附属单位上缴收入0.00万元，占0.00%；其他收入0.03万元，占0.009%。</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本年支出338.23万元，</w:t>
      </w:r>
      <w:r>
        <w:rPr>
          <w:rFonts w:ascii="仿宋_GB2312" w:hAnsi="仿宋_GB2312" w:eastAsia="仿宋_GB2312"/>
          <w:b w:val="0"/>
          <w:sz w:val="32"/>
        </w:rPr>
        <w:t>其中：基本支出298.79万元，占88.34%；项目支出39.44万元，占11.66%；上缴上级支出0.00万元，占0.00%；经营支出0.00万元，占0.00%；对附属单位补助支出0.00万元，占0.00%。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2025年度财政拨款收入总计338.23万元，</w:t>
      </w:r>
      <w:r>
        <w:rPr>
          <w:rFonts w:ascii="仿宋_GB2312" w:hAnsi="仿宋_GB2312" w:eastAsia="仿宋_GB2312"/>
          <w:b w:val="0"/>
          <w:sz w:val="32"/>
        </w:rPr>
        <w:t>其中：年初财政拨款结转和结余0.00万元，本年财政拨款收入338.23万元。</w:t>
      </w:r>
      <w:r>
        <w:rPr>
          <w:rFonts w:ascii="仿宋_GB2312" w:hAnsi="仿宋_GB2312" w:eastAsia="仿宋_GB2312"/>
          <w:b/>
          <w:sz w:val="32"/>
        </w:rPr>
        <w:t>财政拨款支出总计338.23万元，</w:t>
      </w:r>
      <w:r>
        <w:rPr>
          <w:rFonts w:ascii="仿宋_GB2312" w:hAnsi="仿宋_GB2312" w:eastAsia="仿宋_GB2312"/>
          <w:b w:val="0"/>
          <w:sz w:val="32"/>
        </w:rPr>
        <w:t>其中：年末财政拨款结转和结余0.00万元，本年财政拨款支出338.23万元。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增加46.45万元，增长15.92%，主要原因是：本年在职人员工资调增，社保、公积金基数调增，人员经费增加。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年初预算数278.09万元，决算数338.23万元，预决算差异率21.63%，主要原因是：年中追加人员工资、社保、公积金基数调增部分资金，导致预决算存在差异。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民营经济人士服务、商会建设、企业调研培训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民主党派及工商联事务（款）行政运行（项）的支出占本年财政拨款支出总额的比重最高，2025年度决算数为172.11万元，占比50.89%，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2025年度一般公共预算财政拨款支出338.23万元，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增加46.45万元，增长15.92%，主要原因是：本年在职人员工资调增，社保、公积金基数调增，人员经费增加。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年初预算数278.09万元，决算数338.23万元，预决算差异率21.63%，主要原因是：年中追加人员工资、社保、公积金基数调增部分资金，导致预决算存在差异。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1.一般公共服务支出（类）261.49万元，占77.31%。</w:t>
      </w:r>
    </w:p>
    <w:p>
      <w:pPr>
        <w:spacing w:line="580" w:lineRule="exact"/>
        <w:ind w:firstLine="640"/>
        <w:jc w:val="both"/>
      </w:pPr>
      <w:r>
        <w:rPr>
          <w:rFonts w:ascii="仿宋_GB2312" w:hAnsi="仿宋_GB2312" w:eastAsia="仿宋_GB2312"/>
          <w:b w:val="0"/>
          <w:sz w:val="32"/>
        </w:rPr>
        <w:t>2.社会保障和就业支出（类）38.28万元，占11.32%。</w:t>
      </w:r>
    </w:p>
    <w:p>
      <w:pPr>
        <w:spacing w:line="580" w:lineRule="exact"/>
        <w:ind w:firstLine="640"/>
        <w:jc w:val="both"/>
      </w:pPr>
      <w:r>
        <w:rPr>
          <w:rFonts w:ascii="仿宋_GB2312" w:hAnsi="仿宋_GB2312" w:eastAsia="仿宋_GB2312"/>
          <w:b w:val="0"/>
          <w:sz w:val="32"/>
        </w:rPr>
        <w:t>3.卫生健康支出（类）20.17万元，占5.96%。</w:t>
      </w:r>
    </w:p>
    <w:p>
      <w:pPr>
        <w:spacing w:line="580" w:lineRule="exact"/>
        <w:ind w:firstLine="640"/>
        <w:jc w:val="both"/>
      </w:pPr>
      <w:r>
        <w:rPr>
          <w:rFonts w:ascii="仿宋_GB2312" w:hAnsi="仿宋_GB2312" w:eastAsia="仿宋_GB2312"/>
          <w:b w:val="0"/>
          <w:sz w:val="32"/>
        </w:rPr>
        <w:t>4.住房保障支出（类）18.29万元，占5.41%。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1.一般公共服务支出（类）民主党派及工商联事务（款）行政运行（项）：支出决算数为172.11万元，比上年决算增加32.06万元，增长22.89%，主要原因是：本年在职人员工资调增，人员经费增加。</w:t>
      </w:r>
    </w:p>
    <w:p>
      <w:pPr>
        <w:spacing w:line="580" w:lineRule="exact"/>
        <w:ind w:firstLine="640"/>
        <w:jc w:val="both"/>
      </w:pPr>
      <w:r>
        <w:rPr>
          <w:rFonts w:ascii="仿宋_GB2312" w:hAnsi="仿宋_GB2312" w:eastAsia="仿宋_GB2312"/>
          <w:b w:val="0"/>
          <w:sz w:val="32"/>
        </w:rPr>
        <w:t>2.一般公共服务支出（类）民主党派及工商联事务（款）一般行政管理事务（项）：支出决算数为39.44万元，比上年决算增加0.54万元，增长1.39%，主要原因是：本年机关运行补助经费较上年增加。</w:t>
      </w:r>
    </w:p>
    <w:p>
      <w:pPr>
        <w:spacing w:line="580" w:lineRule="exact"/>
        <w:ind w:firstLine="640"/>
        <w:jc w:val="both"/>
      </w:pPr>
      <w:r>
        <w:rPr>
          <w:rFonts w:ascii="仿宋_GB2312" w:hAnsi="仿宋_GB2312" w:eastAsia="仿宋_GB2312"/>
          <w:b w:val="0"/>
          <w:sz w:val="32"/>
        </w:rPr>
        <w:t>3.一般公共服务支出（类）民主党派及工商联事务（款）事业运行（项）：支出决算数为49.94万元，比上年决算增加0.93万元，增长1.90%，主要原因是：本年在职人员工资调增，导致相关人员经费较上年有所增加。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4.一般公共服务支出（类）民主党派及工商联事务（款）其他民主党派及工商联事务支出（项）：支出决算数为0.00万元，比上年决算减少1.65万元，下降100.00%，主要原因是：本年减少参加2023（第九届）格鲁吉亚-中国新疆商品展览会项目经费。</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5.社会保障和就业支出（类）行政事业单位养老支出（款）行政单位离退休（项）：支出决算数为4.35万元，比上年决算增加1.42万元，增长48.46%，主要原因是：本年增加退休人员基础绩效奖，退休费支出增加。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22.62万元，比上年决算增加3.81万元，增长20.26%，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11.31万元，比上年决算增加0.28万元，增长2.54%，主要原因是：本年职业年金缴费基数调增，按月实缴，支出增加。</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8.卫生健康支出（类）行政事业单位医疗（款）行政单位医疗（项）：支出决算数为10.04万元，比上年决算增加2.38万元，增长31.07%，主要原因是：本年在职人员工资基数调增，医疗缴费基数上涨，相应支出增加。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9.卫生健康支出（类）行政事业单位医疗（款）事业单位医疗（项）：支出决算数为4.06万元，比上年决算增加0.70万元，增长20.83%，主要原因是：本年在职人员工资基数调增，医疗缴费基数上涨，相应支出增加。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5.93万元，比上年决算增加5.24万元，增长759.42%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0.15万元，比上年决算增加0.13万元，增长650.00%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12.住房保障支出（类）住房改革支出（款）住房公积金（项）：支出决算数为18.29万元，比上年决算增加0.64万元，增长3.63%，主要原因是：本年在职人员工资基数调增，公积金缴费基数上涨，相应支出增加。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2025年度一般公共预算财政拨款基本支出298.79万元，其中：</w:t>
      </w:r>
      <w:r>
        <w:rPr>
          <w:rFonts w:ascii="仿宋_GB2312" w:hAnsi="仿宋_GB2312" w:eastAsia="仿宋_GB2312"/>
          <w:b/>
          <w:sz w:val="32"/>
        </w:rPr>
        <w:t>人员经费269.44万元，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包括：基本工资、津贴补贴、奖金、绩效工资、机关事业单位基本养老保险缴费、职业年金缴费、职工基本医疗保险缴费、公务员医疗补助缴费、其他社会保障缴费、住房公积金、退休费、抚恤金、奖励金。</w:t>
      </w:r>
    </w:p>
    <w:p>
      <w:pPr>
        <w:spacing w:line="580" w:lineRule="exact"/>
        <w:ind w:firstLine="640"/>
        <w:jc w:val="both"/>
      </w:pPr>
      <w:r>
        <w:rPr>
          <w:rFonts w:ascii="仿宋_GB2312" w:hAnsi="仿宋_GB2312" w:eastAsia="仿宋_GB2312"/>
          <w:b/>
          <w:sz w:val="32"/>
        </w:rPr>
        <w:t>公用经费29.35万元，</w:t>
      </w:r>
      <w:r>
        <w:rPr>
          <w:rFonts w:ascii="仿宋_GB2312" w:hAnsi="仿宋_GB2312" w:eastAsia="仿宋_GB2312"/>
          <w:b w:val="0"/>
          <w:sz w:val="32"/>
        </w:rPr>
        <w:t>包括：办公费、水费、电费、邮电费、取暖费、差旅费、维修（护）费、劳务费、工会经费、福利费、公务用车运行维护费、其他商品和服务支出。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2025年度财政拨款“三公”经费支出2.15万元，</w:t>
      </w:r>
      <w:r>
        <w:rPr>
          <w:rFonts w:ascii="仿宋_GB2312" w:hAnsi="仿宋_GB2312" w:eastAsia="仿宋_GB2312"/>
          <w:b w:val="0"/>
          <w:sz w:val="32"/>
        </w:rPr>
        <w:t>比上年减少1.78万元，下降45.29%，主要原因是：本年严格执行中央八项规定，厉行节约，减少因公出国（境）费用支出。</w:t>
      </w:r>
      <w:r>
        <w:rPr>
          <w:rFonts w:ascii="仿宋_GB2312" w:hAnsi="仿宋_GB2312" w:eastAsia="仿宋_GB2312"/>
          <w:b w:val="0"/>
          <w:sz w:val="32"/>
        </w:rPr>
        <w:t>其中：因公出国（境）费用支出0.00万元，占0.00%，比上年减少1.65万元，下降100.00%，主要原因是：本年严格执行中央八项规定，厉行节约，无因公出国（境）费用支出。</w:t>
      </w:r>
      <w:r>
        <w:rPr>
          <w:rFonts w:ascii="仿宋_GB2312" w:hAnsi="仿宋_GB2312" w:eastAsia="仿宋_GB2312"/>
          <w:b w:val="0"/>
          <w:sz w:val="32"/>
        </w:rPr>
        <w:t>公务用车购置及运行维护费支出2.15万元，占100.00%，比上年增加0.00万元，增长0.00%，主要原因是：本单位公务用车购置及运行维护费与上年一致无变化。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公务接待费支出0.00万元，占0.00%，比上年减少0.13万元，下降100.00%，主要原因是：本年严格执行中央八项规定，厉行节约，无公务接待费支出。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2.15万元，其中：公务用车购置费0.00万元，公务用车运行维护费2.15万元。公务用车运行维护费开支内容包括车辆燃料费、修理费、保险费、过路费等支出。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2.34万元，决算数2.15万元，预决算差异率-8.12%，主要原因是：严格控制公务接待活动，认真执行经费开支标准，减少公务接待运行成本费用。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2.15万元，决算数2.15万元，预决算差异率0.00%，主要原因是：严格按照预算执行，预决算无差异。公务接待费全年预算数0.19万元，决算数0.00万元，预决算差异率-100.00%，主要原因是：本年严格执行中央八项规定，厉行节约，无公务接待费支出。</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工商业联合会（行政单位和参照公务员法管理事业单位）机关运行经费支出29.35万元，比上年增加14.37万元，增长95.93%，主要原因是：本年单位聘用人员薪酬按照核算口径，在劳务费科目进行列支，导致本年度机关运行经费支出相应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2025年度政府采购支出总额0.60万元，其中：政府采购货物支出0.30万元、政府采购工程支出0.00万元、政府采购服务支出0.30万元。</w:t>
      </w:r>
    </w:p>
    <w:p>
      <w:pPr>
        <w:spacing w:line="580" w:lineRule="exact"/>
        <w:ind w:firstLine="640"/>
        <w:jc w:val="both"/>
      </w:pPr>
      <w:r>
        <w:rPr>
          <w:rFonts w:ascii="仿宋_GB2312" w:hAnsi="仿宋_GB2312" w:eastAsia="仿宋_GB2312"/>
          <w:b w:val="0"/>
          <w:sz w:val="32"/>
        </w:rPr>
        <w:t>授予中小企业合同金额0.60万元，占政府采购支出总额的100.00%，其中：授予小微企业合同金额0.60万元，占政府采购支出总额的100.00%。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17.42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383.98万元，实际执行总额338.23万元；预算绩效评价项目2个，全年预算数41.00万元，全年执行数39.44万元。预算绩效管理取得的成效：一是扎实开展2025年度预算绩效管理工作，完成整体支出及项目支出绩效自评，严格落实全过程预算绩效管理要求，规范资金使用，保障单位机构正常运转。二是聚焦主责主业，有序开展民营经济人士能力素质培训、企业走访调研、惠企政策宣传、商会联络服务等工作，搭建政企沟通平台，助力优化营商环境，充分发挥财政资金服务民营经济发展的效能。发现的问题及原因：一是部分项目绩效指标设置精细化不足，部分服务类指标定性描述较多，民营经济服务成效量化难度大，指标测算论证不够充分。原因：工商联服务对象为各类市场主体，培训、调研等服务成效难以完全量化，绩效目标编制时量化指标设计不够细化。二是绩效全过程监控深度不够，绩效监控与业务工作融合有待加强，项目执行过程动态预警不足。原因：业务工作任务繁重，绩效管理人员力量有限，绩效监控多集中在节点填报，常态化跟踪机制不够完善。下一步改进措施：一是优化绩效指标体系，结合民营经济培训、企业调研、政策宣讲等业务特点，科学设置可量化、可考核的绩效指标，提升绩效目标编制质量。二是强化全过程绩效监控，将绩效监控嵌入项目实施各环节，定期跟踪资金执行进度与项目产出，及时发现、处置执行偏差。三是用好绩效评价结果，将绩效自评结果作为下年度预算编制、项目安排的重要依据，持续提高财政资金使用效益。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昌吉回族自治州工商业联合会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278.09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278.09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383.98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8.81</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全面贯彻落实党中央决策部署和区、州党委工作安排部署，围绕中心，服务大局，全力促进“两个健康”，推动自治州经济高质量发展，坚持以习近平新时代中国特色社会主义思想为指导，认真学习贯彻《中共中央 国务院关于发展壮大民营经济意见》《中共中央国务院关于加强新时代工商联工作的意见》精神，突出重点，创新举措，全力推进民营经济人士健康发展和民营企业健康成长。组织开展“主题党日”、联谊会、运动会等宣传活动，推动铸牢中华民族共同体意识教育进企业。支持鼓励商会按照“六有”标准完成阵地打造。实施商会党建品牌计划，打造具有影响力的商会党建品牌。培育壮大党员队伍，吸引纳新管理人员入党。实施优秀企业家培养工程，引导民营经济人士树立新发展理念、提升办好现代企业的能力。深化金融服务，联合人行继续办好网上金融超市，集中梳理推送农业、科创、供应链中小微企业“四类信贷产品”，提升银企融资对接效率。不断增强中小微企业融资的可及性和获得感。健全完善跨地区的经济交流和项目合作机制，发挥商会平台作用，为民营企业走出去学习新理念、新技术、新工艺、新模式搭建平台。深入推进商会的组建工作，组建新的特色行业商会和乡镇街道商会，推动民营经济统战工作向行业延伸、向基层覆盖。</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年我单位全年预算数为383.98 万元，全年执行数为 338.23万元，总预算执行率为 88.09% 。2025年我单位完成以下工作内容：1.完成2期举办民营经济代表人士“两个健康”能力提升培训班；2.完成组建乡镇（街道）商会4家； 3.完成商会“六有”标准阵地打造2家；4.完成壮大党员队伍纳新党员52人 ；5.完成开展营商环境调研1次 。通过工作实施，促进健全完善跨地区的经济交流和项目合作机制，为民营企业走出去搭建平台；深入推进商会组建工作，推动统战工作向基层覆盖；实施商会党建品牌计划，培育壮大党员队伍，引导民营经济人士树立新发展理念、提升办好现代企业的能力。</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举办民营经济代表人士“两个健康”能力提升培训班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关于印发《昌吉州统一战线教育培训规划（2025-2027年）》的通知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组建乡镇（街道）商会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关于征求《昌吉州2025年推进民族团结进步事业高质量发展做深做实中华民族共同体建设工作方案》意见建议的函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完成商会“六有”标准阵地打造</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昌吉州工商联2025年工作计划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壮大党员队伍纳新党员人数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昌吉州工商联2025年工作计划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开展营商环境调研</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关于再次征求《昌吉州营商环境建设攻坚年实施方案》意见建议的函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2025年基层组织建设补助经费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昌吉回族自治州工商业联合会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昌吉回族自治州工商业联合会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该项目2025年计划投入资金3万元，项目计划完成昌吉州民营经济人士理想信念教育报告会1场，拍摄专题宣传片数量1部，专题宣传片观看人数80人，  通过该项目的实施，逐步提高非公有制经济党建规范化，推动党建和业务工作双融双促，为推动自治州经济社会各项事业高质量发展提供有力保障。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截至2025年12月31日，本项目支付资金3万元，资金执行率100%，本项目实际完成昌吉州民营经济人士理想信念教育报告会1场，拍摄专题宣传片数量1部，专题宣传片观看人数80人， 通过该项目的实施，逐步提高非公有制经济党建规范化，推动党建和业务工作双融双促，为推动自治州经济社会各项事业高质量发展提供有力保障。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举办民营经济人士理想信念教育报告会场次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拍摄专题宣传片数量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报告会参与人员出勤率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教育报告会会议成本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专题宣传片制作成本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逐步提高非公有制经济党建规范化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昌吉回族自治州工商业联合会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36.44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36.44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经费用于保障我单位11人正常的工作秩序，开展民营经济人士培训班2次，及时合规采购办公用品2次，培训保障率达到100%，完成培训班费用支出27万元，保障单位正常运转成本支出11万元，通过项目的实施调动职工工作积极性，提高业务开展效率，提升公共服务能力，不断促进民营企业经济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截至2025年12月31日，本项目支付资金36.44 万元，资金执行率95.89%，本项目实际完成我单位11人正常的工作秩序，开展了民营经济人士培训班2次，及时合规采购办公用品2次，培训保障率达到100%，完成培训班费用支出27万元，保障单位正常运转成本支出11万元，通过项目的实施调动职工工作积极性，提高业务开展效率，提升公共服务能力，不断促进民营企业经济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开展民营经济人士培训班场次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完成办公用品采购批次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经费支出及时率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98.27%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偏差原因分析：日常办公厉行节约，办公用品、物业运维等开支严控支出标准，各项运行耗材按需采购，减少非必要消耗，实现经费整体节约，实际支出低于年初预算额度。 改进措施 下年度编制预算时结合本年度实际支出数据精准测算，合理压缩冗余预留额度，提升预算编制精细化水平。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偏差原因分析：本次培训合理统筹授课安排，优化讲师聘请方案降低授课劳务费用；同步选用单位自有场地开展教学，无需额外租赁，场地开支大幅缩减，整体培训实际成本低于预算。 改进措施：后续编报培训预算时结合往期实际开支精准测算，细化师资、场地费用测算标准，提升预算编制精准度。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促进民营企业经济高质量发展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民营经济人士满意度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本年本单位其他项目1个，全年预算数2万元，全年执行数2万元。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