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昌吉回族自治州妇女联合会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新疆昌吉回族自治州妇女联合会(简称昌吉州妇联)是昌吉州党委领导下的全州各族各界妇女的社会群众团体组织，是党和政府联系妇女群众的桥梁和纽带，具有维护妇女合法权益、促进妇女健康发展等工作职能。主要职责。</w:t>
      </w:r>
    </w:p>
    <w:p>
      <w:pPr>
        <w:spacing w:line="580" w:lineRule="exact"/>
        <w:ind w:firstLine="640"/>
        <w:jc w:val="both"/>
      </w:pPr>
      <w:r>
        <w:rPr>
          <w:rFonts w:ascii="仿宋_GB2312" w:hAnsi="仿宋_GB2312" w:eastAsia="仿宋_GB2312"/>
          <w:sz w:val="32"/>
        </w:rPr>
        <w:t>一是坚持正确的政治方向，团结、引领、服务、联系全州各族各界妇女以及各类妇女组织，深入学习贯彻习近平新时代中国特色社会主义思想和党的路线方针政策，始终在思想上、政治上、行动上同以习近平同志为核心的党中央保持高度一致，维护祖国统一，反对民族分裂主义和非法活动。</w:t>
      </w:r>
    </w:p>
    <w:p>
      <w:pPr>
        <w:spacing w:line="580" w:lineRule="exact"/>
        <w:ind w:firstLine="640"/>
        <w:jc w:val="both"/>
      </w:pPr>
      <w:r>
        <w:rPr>
          <w:rFonts w:ascii="仿宋_GB2312" w:hAnsi="仿宋_GB2312" w:eastAsia="仿宋_GB2312"/>
          <w:sz w:val="32"/>
        </w:rPr>
        <w:t>二是坚决贯彻落实新时代党的治疆方略，紧围绕社会稳定和长治久安总目标开展工作。团结、动员、组织妇女群众投身改革和社会主义经济建设、政治建设、文化建设、社会建设和生态文明建设，注重发挥妇女在社会生活和家庭生活中的独特作用，为中国特色社会主义伟大实践做贡献。</w:t>
      </w:r>
    </w:p>
    <w:p>
      <w:pPr>
        <w:spacing w:line="580" w:lineRule="exact"/>
        <w:ind w:firstLine="640"/>
        <w:jc w:val="both"/>
      </w:pPr>
      <w:r>
        <w:rPr>
          <w:rFonts w:ascii="仿宋_GB2312" w:hAnsi="仿宋_GB2312" w:eastAsia="仿宋_GB2312"/>
          <w:sz w:val="32"/>
        </w:rPr>
        <w:t>三是宣传马克思主义妇女观，推动落实男女平等基本国策，营造有利于妇女发展的社会环境，教育、引导妇女群众树立正确的世界观、人生观、价值观，弘扬“自尊、自信、自立、自强”的精神，提高综合素质，实现全面发展，宣传表彰优秀妇女典型，培养、推荐女性人才。</w:t>
      </w:r>
    </w:p>
    <w:p>
      <w:pPr>
        <w:spacing w:line="580" w:lineRule="exact"/>
        <w:ind w:firstLine="640"/>
        <w:jc w:val="both"/>
      </w:pPr>
      <w:r>
        <w:rPr>
          <w:rFonts w:ascii="仿宋_GB2312" w:hAnsi="仿宋_GB2312" w:eastAsia="仿宋_GB2312"/>
          <w:sz w:val="32"/>
        </w:rPr>
        <w:t>四是代表各族各界妇女参与管理经济和文化事业、管理社会事务、参与民主决策、民主管理、民主监督、参与有关法律、法规、规章和政策的制定，推动保障妇女权益法律政策和妇女儿童发展纲要的实施。</w:t>
      </w:r>
    </w:p>
    <w:p>
      <w:pPr>
        <w:spacing w:line="580" w:lineRule="exact"/>
        <w:ind w:firstLine="640"/>
        <w:jc w:val="both"/>
      </w:pPr>
      <w:r>
        <w:rPr>
          <w:rFonts w:ascii="仿宋_GB2312" w:hAnsi="仿宋_GB2312" w:eastAsia="仿宋_GB2312"/>
          <w:sz w:val="32"/>
        </w:rPr>
        <w:t>五是维护妇女儿童合法权益，倾听妇女意见，反映妇女诉求，向自治州党委、自治州人民政府提出对策建议，要求并协助有关部门或者单位查处侵害妇女儿童合法权益的行为，为受侵害的妇女儿童提供帮助，协调推动全社会为妇女儿童办实事、办好事。</w:t>
      </w:r>
    </w:p>
    <w:p>
      <w:pPr>
        <w:spacing w:line="580" w:lineRule="exact"/>
        <w:ind w:firstLine="640"/>
        <w:jc w:val="both"/>
      </w:pPr>
      <w:r>
        <w:rPr>
          <w:rFonts w:ascii="仿宋_GB2312" w:hAnsi="仿宋_GB2312" w:eastAsia="仿宋_GB2312"/>
          <w:sz w:val="32"/>
        </w:rPr>
        <w:t>六是积极推动和开展对妇女的科技文化及生产劳动技能的教育，关心妇女工作生活，拓宽服务就业渠道，创新服务方式，建设服务阵地，发展公益事业，壮大巾帼志愿者队伍，加强妇女之家建设，联系和引导女性社会组织，加强与社会各界的协作，推动全社会为妇女儿童和家庭服务。</w:t>
      </w:r>
    </w:p>
    <w:p>
      <w:pPr>
        <w:spacing w:line="580" w:lineRule="exact"/>
        <w:ind w:firstLine="640"/>
        <w:jc w:val="both"/>
      </w:pPr>
      <w:r>
        <w:rPr>
          <w:rFonts w:ascii="仿宋_GB2312" w:hAnsi="仿宋_GB2312" w:eastAsia="仿宋_GB2312"/>
          <w:sz w:val="32"/>
        </w:rPr>
        <w:t>七是指导各县市、园区妇联依据《中华全国妇女联合会章程》和妇女代表大会的任务，开展妇女儿童工作，联系团体会员并给子工作指导，巩固和扩大各族各界妇女的大团结。</w:t>
      </w:r>
    </w:p>
    <w:p>
      <w:pPr>
        <w:spacing w:line="580" w:lineRule="exact"/>
        <w:ind w:firstLine="640"/>
        <w:jc w:val="both"/>
      </w:pPr>
      <w:r>
        <w:rPr>
          <w:rFonts w:ascii="仿宋_GB2312" w:hAnsi="仿宋_GB2312" w:eastAsia="仿宋_GB2312"/>
          <w:sz w:val="32"/>
        </w:rPr>
        <w:t>八是承担自治州妇女儿童工作委员会办公室的工作和州党委、人民政府交办的有关事项。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昌吉回族自治州妇女联合会无下属预算单位。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2025年度收入总计546.50万元，</w:t>
      </w:r>
      <w:r>
        <w:rPr>
          <w:rFonts w:ascii="仿宋_GB2312" w:hAnsi="仿宋_GB2312" w:eastAsia="仿宋_GB2312"/>
          <w:b w:val="0"/>
          <w:sz w:val="32"/>
        </w:rPr>
        <w:t>其中：本年收入合计539.14万元，使用非财政拨款结余（含专用结余）0.00万元，年初结转和结余7.36万元。</w:t>
      </w:r>
    </w:p>
    <w:p>
      <w:pPr>
        <w:spacing w:line="580" w:lineRule="exact"/>
        <w:ind w:firstLine="640"/>
        <w:jc w:val="both"/>
      </w:pPr>
      <w:r>
        <w:rPr>
          <w:rFonts w:ascii="仿宋_GB2312" w:hAnsi="仿宋_GB2312" w:eastAsia="仿宋_GB2312"/>
          <w:b/>
          <w:sz w:val="32"/>
        </w:rPr>
        <w:t>2025年度支出总计546.50万元，</w:t>
      </w:r>
      <w:r>
        <w:rPr>
          <w:rFonts w:ascii="仿宋_GB2312" w:hAnsi="仿宋_GB2312" w:eastAsia="仿宋_GB2312"/>
          <w:b w:val="0"/>
          <w:sz w:val="32"/>
        </w:rPr>
        <w:t>其中：本年支出合计536.67万元，结余分配0.00万元，年末结转和结余9.83万元。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减少83.43万元，下降13.24%，主要原因是：本年在职人员减少，相关人员经费较上年减少。福建省妇联拨付援疆干部工作经费用于单位业务经费减少。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本年收入539.14万元，</w:t>
      </w:r>
      <w:r>
        <w:rPr>
          <w:rFonts w:ascii="仿宋_GB2312" w:hAnsi="仿宋_GB2312" w:eastAsia="仿宋_GB2312"/>
          <w:b w:val="0"/>
          <w:sz w:val="32"/>
        </w:rPr>
        <w:t>其中：财政拨款收入527.08万元，占97.76%；上级补助收入0.00万元，占0.00%；事业收入0.00万元，占0.00%；经营收入0.00万元，占0.00%；附属单位上缴收入0.00万元，占0.00%；其他收入12.06万元，占2.24%。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本年支出536.67万元，</w:t>
      </w:r>
      <w:r>
        <w:rPr>
          <w:rFonts w:ascii="仿宋_GB2312" w:hAnsi="仿宋_GB2312" w:eastAsia="仿宋_GB2312"/>
          <w:b w:val="0"/>
          <w:sz w:val="32"/>
        </w:rPr>
        <w:t>其中：基本支出364.63万元，占67.94%；项目支出172.04万元，占32.06%；上缴上级支出0.00万元，占0.00%；经营支出0.00万元，占0.00%；对附属单位补助支出0.00万元，占0.00%。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2025年度财政拨款收入总计527.08万元，</w:t>
      </w:r>
      <w:r>
        <w:rPr>
          <w:rFonts w:ascii="仿宋_GB2312" w:hAnsi="仿宋_GB2312" w:eastAsia="仿宋_GB2312"/>
          <w:b w:val="0"/>
          <w:sz w:val="32"/>
        </w:rPr>
        <w:t>其中：年初财政拨款结转和结余0.00万元，本年财政拨款收入527.08万元。</w:t>
      </w:r>
      <w:r>
        <w:rPr>
          <w:rFonts w:ascii="仿宋_GB2312" w:hAnsi="仿宋_GB2312" w:eastAsia="仿宋_GB2312"/>
          <w:b/>
          <w:sz w:val="32"/>
        </w:rPr>
        <w:t>财政拨款支出总计527.08万元，</w:t>
      </w:r>
      <w:r>
        <w:rPr>
          <w:rFonts w:ascii="仿宋_GB2312" w:hAnsi="仿宋_GB2312" w:eastAsia="仿宋_GB2312"/>
          <w:b w:val="0"/>
          <w:sz w:val="32"/>
        </w:rPr>
        <w:t>其中：年末财政拨款结转和结余0.00万元，本年财政拨款支出527.08万元。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减少17.62万元，下降3.23%，主要原因是：本年在职人员减少，相关人员经费较上年减少。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年初预算数442.79万元，决算数527.08万元，预决算差异率19.04%，主要原因是：年中追加人员工资、社保、公积金基数调增部分资金，导致预决算存在差异。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按照支出功能分类，一般公共服务支出（类）群众团体事务（款）行政运行（项）的支出占本年财政拨款支出总额的比重最高，2025年度决算数为155.06万元，占比29.42%，主要用于人员工资福利、日常公用经费。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2025年度一般公共预算财政拨款支出515.08万元，</w:t>
      </w:r>
      <w:r>
        <w:rPr>
          <w:rFonts w:ascii="仿宋_GB2312" w:hAnsi="仿宋_GB2312" w:eastAsia="仿宋_GB2312"/>
          <w:b w:val="0"/>
          <w:sz w:val="32"/>
        </w:rPr>
        <w:t>占本年支出合计的95.98%。</w:t>
      </w:r>
      <w:r>
        <w:rPr>
          <w:rFonts w:ascii="仿宋_GB2312" w:hAnsi="仿宋_GB2312" w:eastAsia="仿宋_GB2312"/>
          <w:b/>
          <w:sz w:val="32"/>
        </w:rPr>
        <w:t>与上年相比，</w:t>
      </w:r>
      <w:r>
        <w:rPr>
          <w:rFonts w:ascii="仿宋_GB2312" w:hAnsi="仿宋_GB2312" w:eastAsia="仿宋_GB2312"/>
          <w:b w:val="0"/>
          <w:sz w:val="32"/>
        </w:rPr>
        <w:t>减少19.62万元，下降3.67%，主要原因是：本年在职人员减少，相关人员经费较上年减少。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年初预算数442.79万元，决算数515.08万元，预决算差异率16.33%，主要原因是：年中追加人员工资、社保、公积金基数调增部分资金，导致预决算存在差异。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1.一般公共服务支出（类）407.46万元，占79.11%。</w:t>
      </w:r>
    </w:p>
    <w:p>
      <w:pPr>
        <w:spacing w:line="580" w:lineRule="exact"/>
        <w:ind w:firstLine="640"/>
        <w:jc w:val="both"/>
      </w:pPr>
      <w:r>
        <w:rPr>
          <w:rFonts w:ascii="仿宋_GB2312" w:hAnsi="仿宋_GB2312" w:eastAsia="仿宋_GB2312"/>
          <w:b w:val="0"/>
          <w:sz w:val="32"/>
        </w:rPr>
        <w:t>2.社会保障和就业支出（类）56.32万元，占10.93%。</w:t>
      </w:r>
    </w:p>
    <w:p>
      <w:pPr>
        <w:spacing w:line="580" w:lineRule="exact"/>
        <w:ind w:firstLine="640"/>
        <w:jc w:val="both"/>
      </w:pPr>
      <w:r>
        <w:rPr>
          <w:rFonts w:ascii="仿宋_GB2312" w:hAnsi="仿宋_GB2312" w:eastAsia="仿宋_GB2312"/>
          <w:b w:val="0"/>
          <w:sz w:val="32"/>
        </w:rPr>
        <w:t>3.卫生健康支出（类）26.18万元，占5.08%。</w:t>
      </w:r>
    </w:p>
    <w:p>
      <w:pPr>
        <w:spacing w:line="580" w:lineRule="exact"/>
        <w:ind w:firstLine="640"/>
        <w:jc w:val="both"/>
      </w:pPr>
      <w:r>
        <w:rPr>
          <w:rFonts w:ascii="仿宋_GB2312" w:hAnsi="仿宋_GB2312" w:eastAsia="仿宋_GB2312"/>
          <w:b w:val="0"/>
          <w:sz w:val="32"/>
        </w:rPr>
        <w:t>4.资源勘探工业信息等支出（类）1.04万元，占0.20%。</w:t>
      </w:r>
    </w:p>
    <w:p>
      <w:pPr>
        <w:spacing w:line="580" w:lineRule="exact"/>
        <w:ind w:firstLine="640"/>
        <w:jc w:val="both"/>
      </w:pPr>
      <w:r>
        <w:rPr>
          <w:rFonts w:ascii="仿宋_GB2312" w:hAnsi="仿宋_GB2312" w:eastAsia="仿宋_GB2312"/>
          <w:b w:val="0"/>
          <w:sz w:val="32"/>
        </w:rPr>
        <w:t>5.住房保障支出（类）24.08万元，占4.68%。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1.一般公共服务支出（类）群众团体事务（款）行政运行（项）：支出决算数为155.06万元，比上年决算减少21.77万元，下降12.31%，主要原因是：本年在职人员减少，相应人员经费较上年减少。</w:t>
      </w:r>
    </w:p>
    <w:p>
      <w:pPr>
        <w:spacing w:line="580" w:lineRule="exact"/>
        <w:ind w:firstLine="640"/>
        <w:jc w:val="both"/>
      </w:pPr>
      <w:r>
        <w:rPr>
          <w:rFonts w:ascii="仿宋_GB2312" w:hAnsi="仿宋_GB2312" w:eastAsia="仿宋_GB2312"/>
          <w:b w:val="0"/>
          <w:sz w:val="32"/>
        </w:rPr>
        <w:t>2.一般公共服务支出（类）群众团体事务（款）一般行政管理事务（项）：支出决算数为143.00万元，比上年决算增加0.65万元，增长0.46%，主要原因是：单位日常运转类项目经费较上年增加，导致经费支出增加。</w:t>
      </w:r>
    </w:p>
    <w:p>
      <w:pPr>
        <w:spacing w:line="580" w:lineRule="exact"/>
        <w:ind w:firstLine="640"/>
        <w:jc w:val="both"/>
      </w:pPr>
      <w:r>
        <w:rPr>
          <w:rFonts w:ascii="仿宋_GB2312" w:hAnsi="仿宋_GB2312" w:eastAsia="仿宋_GB2312"/>
          <w:b w:val="0"/>
          <w:sz w:val="32"/>
        </w:rPr>
        <w:t>3.一般公共服务支出（类）群众团体事务（款）事业运行（项）：支出决算数为101.42万元，比上年决算增加8.23万元，增长8.83%，主要原因是：本年在职人员工资调增，导致相关人员经费较上年有所增加。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4.一般公共服务支出（类）群众团体事务（款）其他群众团体事务支出（项）：支出决算数为7.98万元，比上年决算增加1.98万元，增长33.00%，主要原因是：本年自治区妇联拨付妇女儿童工作经费增加。</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11.77万元，比上年决算增加4.11万元，增长53.66%，主要原因是：本年退休人员增加，退休费支出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29.70万元，比上年决算减少2.33万元，下降7.27%，主要原因是：本年在职人员减少，单位基本养老保险缴费较上年减少。</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14.85万元，比上年决算减少16.76万元，下降53.02%，主要原因是：本年退休人员较上年减少，职业年金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8.卫生健康支出（类）行政事业单位医疗（款）行政单位医疗（项）：支出决算数为10.02万元，比上年决算增加0.50万元，增长5.25%，主要原因是：本年在职人员工资基数调增，医疗缴费基数上涨，相应支出增加。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9.卫生健康支出（类）行政事业单位医疗（款）事业单位医疗（项）：支出决算数为8.31万元，比上年决算减少0.39万元，下降4.48%，主要原因是：本年在职人员减少，事业单位医疗支出较上年减少。</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7.72万元，比上年决算增加6.72万元，增长672.00%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11.卫生健康支出（类）行政事业单位医疗（款）其他行政事业单位医疗支出（项）：支出决算数为0.13万元，比上年决算减少0.03万元，下降18.75%，主要原因是：本年在职人员减少，大病医疗保险支出较上年减少。</w:t>
      </w:r>
    </w:p>
    <w:p>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1.04万元，比上年决算增加1.04万元，增长100.00%，主要原因是：本年增加专项业务经费，导致经费支出增加。</w:t>
      </w:r>
    </w:p>
    <w:p>
      <w:pPr>
        <w:spacing w:line="580" w:lineRule="exact"/>
        <w:ind w:firstLine="640"/>
        <w:jc w:val="both"/>
      </w:pPr>
      <w:r>
        <w:rPr>
          <w:rFonts w:ascii="仿宋_GB2312" w:hAnsi="仿宋_GB2312" w:eastAsia="仿宋_GB2312"/>
          <w:b w:val="0"/>
          <w:sz w:val="32"/>
        </w:rPr>
        <w:t>13.住房保障支出（类）住房改革支出（款）住房公积金（项）：支出决算数为24.08万元，比上年决算减少1.56万元，下降6.08%，主要原因是：本年在职人员减少，住房公积金缴费较上年减少。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2025年度一般公共预算财政拨款基本支出363.07万元，其中：</w:t>
      </w:r>
      <w:r>
        <w:rPr>
          <w:rFonts w:ascii="仿宋_GB2312" w:hAnsi="仿宋_GB2312" w:eastAsia="仿宋_GB2312"/>
          <w:b/>
          <w:sz w:val="32"/>
        </w:rPr>
        <w:t>人员经费327.76万元，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公用经费35.30万元，</w:t>
      </w:r>
      <w:r>
        <w:rPr>
          <w:rFonts w:ascii="仿宋_GB2312" w:hAnsi="仿宋_GB2312" w:eastAsia="仿宋_GB2312"/>
          <w:b w:val="0"/>
          <w:sz w:val="32"/>
        </w:rPr>
        <w:t>包括：办公费、水费、电费、邮电费、物业管理费、差旅费、维修（护）费、公务接待费、劳务费、工会经费、福利费、公务用车运行维护费、其他商品和服务支出。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2025年度政府性基金预算财政拨款收入总计12.00万元，</w:t>
      </w:r>
      <w:r>
        <w:rPr>
          <w:rFonts w:ascii="仿宋_GB2312" w:hAnsi="仿宋_GB2312" w:eastAsia="仿宋_GB2312"/>
          <w:b w:val="0"/>
          <w:sz w:val="32"/>
        </w:rPr>
        <w:t>其中：年初结转和结余0.00万元，本年收入12.00万元。</w:t>
      </w:r>
      <w:r>
        <w:rPr>
          <w:rFonts w:ascii="仿宋_GB2312" w:hAnsi="仿宋_GB2312" w:eastAsia="仿宋_GB2312"/>
          <w:b/>
          <w:sz w:val="32"/>
        </w:rPr>
        <w:t>政府性基金预算财政拨款支出总计12.00万元，</w:t>
      </w:r>
      <w:r>
        <w:rPr>
          <w:rFonts w:ascii="仿宋_GB2312" w:hAnsi="仿宋_GB2312" w:eastAsia="仿宋_GB2312"/>
          <w:b w:val="0"/>
          <w:sz w:val="32"/>
        </w:rPr>
        <w:t>其中：年末结转和结余0.00万元，本年支出12.00万元。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增加2.00万元，增长20.00%，主要原因是：本年增加自治州妇女儿童发展和家庭建设项目。</w:t>
      </w:r>
      <w:r>
        <w:rPr>
          <w:rFonts w:ascii="仿宋_GB2312" w:hAnsi="仿宋_GB2312" w:eastAsia="仿宋_GB2312"/>
          <w:b/>
          <w:sz w:val="32"/>
        </w:rPr>
        <w:t>与年初预算相比，</w:t>
      </w:r>
      <w:r>
        <w:rPr>
          <w:rFonts w:ascii="仿宋_GB2312" w:hAnsi="仿宋_GB2312" w:eastAsia="仿宋_GB2312"/>
          <w:b w:val="0"/>
          <w:sz w:val="32"/>
        </w:rPr>
        <w:t>年初预算数0.00万元，决算数12.00万元，预决算差异率100.00%，主要原因是：年中追加自治州妇女儿童发展和家庭建设项目，导致预决算存在差异。</w:t>
      </w:r>
    </w:p>
    <w:p>
      <w:pPr>
        <w:spacing w:line="580" w:lineRule="exact"/>
        <w:ind w:firstLine="640"/>
        <w:jc w:val="both"/>
      </w:pPr>
      <w:r>
        <w:rPr>
          <w:rFonts w:ascii="仿宋_GB2312" w:hAnsi="仿宋_GB2312" w:eastAsia="仿宋_GB2312"/>
          <w:b w:val="0"/>
          <w:sz w:val="32"/>
        </w:rPr>
        <w:t>政府性基金预算财政拨款本年支出12.00万元。具体情况如下：</w:t>
      </w:r>
    </w:p>
    <w:p>
      <w:pPr>
        <w:spacing w:line="580" w:lineRule="exact"/>
        <w:ind w:firstLine="640"/>
        <w:jc w:val="both"/>
      </w:pPr>
      <w:r>
        <w:rPr>
          <w:rFonts w:ascii="仿宋_GB2312" w:hAnsi="仿宋_GB2312" w:eastAsia="仿宋_GB2312"/>
          <w:b w:val="0"/>
          <w:sz w:val="32"/>
        </w:rPr>
        <w:t>1.其他支出（类）彩票公益金安排的支出（款）用于社会福利的彩票公益金支出（项）：支出决算数为12.00万元，比上年决算增加2.00万元，增长20.00%，主要原因是：本年增加自治州妇女儿童发展和家庭建设项目。</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2025年度财政拨款“三公”经费支出3.48万元，</w:t>
      </w:r>
      <w:r>
        <w:rPr>
          <w:rFonts w:ascii="仿宋_GB2312" w:hAnsi="仿宋_GB2312" w:eastAsia="仿宋_GB2312"/>
          <w:b w:val="0"/>
          <w:sz w:val="32"/>
        </w:rPr>
        <w:t>比上年减少0.03万元，下降0.85%，主要原因是：严格落实中央八项规定精神，厉行节约，减少公务接待费。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公务用车购置及运行维护费支出3.36万元，占96.55%，比上年增加0.00万元，增长0.00%，主要原因是：本单位公务用车购置及运行维护费与上年一致无变化。</w:t>
      </w:r>
      <w:r>
        <w:rPr>
          <w:rFonts w:ascii="仿宋_GB2312" w:hAnsi="仿宋_GB2312" w:eastAsia="仿宋_GB2312"/>
          <w:b w:val="0"/>
          <w:sz w:val="32"/>
        </w:rPr>
        <w:t>公务接待费支出0.12万元，占3.45%，比上年减少0.03万元，下降20.00%，主要原因是：严格落实中央八项规定精神，厉行节约，减少公务接待费。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3.36万元，其中：公务用车购置费0.00万元，公务用车运行维护费3.36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公务接待费0.12万元，开支内容包括接待山东省妇女联合会关于商请开展“泰山天山情相连益路相伴促发展”公益援助工作产生的就餐费。单位全年安排的国内公务接待1批次，15人次。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3.48万元，决算数3.48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3.36万元，决算数3.36万元，预决算差异率0.00%，主要原因是：严格按照预算执行，预决算无差异。公务接待费全年预算数0.12万元，决算数0.12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妇女联合会（行政单位和参照公务员法管理事业单位）机关运行经费支出35.30万元，比上年增加9.12万元，增长34.84%，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2025年度政府采购支出总额13.76万元，其中：政府采购货物支出5.40万元、政府采购工程支出0.00万元、政府采购服务支出8.36万元。</w:t>
      </w:r>
    </w:p>
    <w:p>
      <w:pPr>
        <w:spacing w:line="580" w:lineRule="exact"/>
        <w:ind w:firstLine="640"/>
        <w:jc w:val="both"/>
      </w:pPr>
      <w:r>
        <w:rPr>
          <w:rFonts w:ascii="仿宋_GB2312" w:hAnsi="仿宋_GB2312" w:eastAsia="仿宋_GB2312"/>
          <w:b w:val="0"/>
          <w:sz w:val="32"/>
        </w:rPr>
        <w:t>授予中小企业合同金额6.51万元，占政府采购支出总额的47.31%，其中：授予小微企业合同金额6.51万元，占政府采购支出总额的47.31%。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41.09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546.50万元，实际执行总额536.67万元；预算绩效评价项目7个，全年预算数174.48万元，全年执行数170.99万元。预算绩效管理取得的成效：一是开展乡村振兴巾帼行动美丽庭院建设培训7场次。二是组织石榴花绣美庭州刺绣骨干培训班1场次。三是组织巾帼家政服务员技能大赛1场次。四是石榴花维权普法大讲堂3场次。五是儿童关心关爱服务及庆祝六一活动4场次。六是石榴籽童心向党少年儿童研学夏令营活动4期。七是三新领域妇联组织观摩活动1次。通过以上工作的实施，团结引领全州各族妇女为建设推进中国式现代化新疆实践的典范地州贡献巾帼力量。发现的问题及原因：一是绩效理念薄弱、专业力量不足，干部职工对预算绩效管理认知不到位，存在重分配、轻绩效现象；无专职绩效管理人员，由财务人员兼职开展工作，业务衔接不畅，造成绩效与业务工作脱节。同时缺乏统筹协调机制和闭环管理制度，工作人员专业能力不足，绩效管理流于形式。二是绩效档案工作重视不足，全员档案管理意识淡薄，未常态化规范收集整理绩效佐证材料，关键资料易缺失。缺乏复合型专业人员，档案管理与业务工作脱节，归档材料不完整、不规范，无法发挥绩效档案溯源、佐证、赋能优化的作用。下一步改进措施：一是针对绩效管理短板，单位将重塑全员绩效理念，强化顶层设计，配齐专职绩效人员，搭建多层级联动工作机制。同时健全事前、事中、事后全流程闭环管理，将绩效结果与预算安排、考核评优挂钩，并开展分层分类专项培训，提升全员绩效实操能力。二是针对绩效档案管理薄弱问题，压实全员归档责任，建立专项档案管理制度及节点归档清单，规范全流程归档工作。同步开展档案业务培训，推进档案数字化建设，深度挖掘档案参考价值，切实以档案资料赋能预算管理和单位履职提质增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444.79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519.10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519.10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444.79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全面贯彻党的二十大、二十届三中全会精神。深入实施“石榴花开耀天山”品牌工程，把政治引领放在首位，把服务大局作为重点，把保障权益作为关键，把守正创新作为动力，把自我革命作为永恒课题。结合州党委十二届七次、八次、九次会议精神，我单位计划开展乡村振兴巾帼行动美丽庭院建设培训、组织石榴花绣美庭州刺绣骨干培训班、组织巾帼家政服务员技能大赛、石榴花维权普法大讲堂、石榴籽童心向党少年儿童研学夏令营活动、三新领域妇联组织观摩活动。通过开展培训及活动，团结引领全州各族妇女为建设推进中国式现代化新疆实践的典范地州贡献巾帼力量。</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546.50万元，全年执行数为536.67元，总预算执行率为98.20%。2025年我单位完成以下工作内容：开展乡村振兴巾帼行动美丽庭院建设培训7场次，组织石榴花绣美庭州刺绣骨干培训班1场次，组织巾帼家政服务员技能大赛1场次，石榴花维权普法大讲堂3场次，儿童关心关爱服务及庆祝六一活动4场次，石榴籽童心向党少年儿童研学夏令营活动4期，三新领域妇联组织观摩活动1次。通过以上工作的实施，团结引领全州各族妇女为建设推进中国式现代化新疆实践的典范地州贡献巾帼力量。</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开展乡村振兴巾帼行动美丽庭院建设培训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关于印发《自治区妇联贯彻落实习近平总书记在同全国妇联新一届领导班子成员集体谈话时的重要讲话精神2025年工作要点》的通知、昌吉州妇联2025年工作思路及计划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组织石榴花绣美庭州刺绣骨干培训班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关于印发《自治区妇联贯彻落实习近平总书记在同全国妇联新一届领导班子成员集体谈话时的重要讲话精神2025年工作要点》的通知、昌吉州妇联2025年工作思路及计划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组织巾帼家政服务员技能大赛</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石榴花维权普法大讲堂</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儿童关心关爱服务及庆祝六一活动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石榴籽童心向党少年儿童研学夏令营活动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关于印发《自治区妇联贯彻落实习近平总书记在同全国妇联新一届领导班子成员集体谈话时的重要讲话精神2025年工作要点》的通知、昌吉州妇联2025年工作思路及计划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三新领域妇联组织观摩活动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关于印发《自治区妇联贯彻落实习近平总书记在同全国妇联新一届领导班子成员集体谈话时的重要讲话精神2025年工作要点》的通知、昌吉州妇联2025年工作思路及计划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根据《昌吉州州直机关基层党组织党建活动经费管理办法》的通知，开展主题党日活动6次，开展党员培训2次，通过党建工作的实施，提升党员综合素质。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截至2025年12月31日，本项目支出资金1.14万元，资金执行率87.69%，本项目实际完成开展主题党日活动6次，开展党员培训2次，通过党建工作的实施，提升党员综合素质。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开展主题党日活动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开展党员培训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1.05%，偏差原因为：实际参加培训党员人数低于全部党员人数，在计算出勤比率时，导致出勤率数值偏低，其根本原因为培训党员未能全部到会；下一年度改进措施：采取严格控制请假人员，从源头上确保应到党员能尽量参加培训，从而提升出勤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党建经费支出时限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开展主题党日活动相关支出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偏差原因为：项目人员严格控制工作经费开支，导致实际支出较年初预算有一定的结余，结余资金0.16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开展党员培训相关支出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提升党员综合素质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1.05%，偏差原因为：我单位在前期设定满意度指标时，为确定项目产出的底线思维，设定了大于等于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妇女儿童工作经费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项目计划开展各类培训8场次，其中：开展乡村振兴巾帼行动美丽庭院建设培训7场次、组织石榴花绣美庭州刺绣骨干培训班1次；开展各类活动12场次，其中：石榴花维权普法大讲堂3次、儿童关心关爱服务及庆祝六一活动4场次、石榴籽童心向党少年儿童研学夏令营活动4期、三新领域妇联组织观摩活动1次；组织巾帼家政服务员技能大赛1次。通过项目的实施，团结引领全州各族妇女为建设推进中国式现代化新疆实践的典范地州贡献巾帼力量，显著提升妇女儿童能的凝聚力和战斗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126.93万元，资金执行率97.64%，本项目实际开展各类培训8场次，其中：开展乡村振兴巾帼行动美丽庭院建设培训7场次、组织石榴花绣美庭州刺绣骨干培训班1次；开展各类活动12场次，其中：石榴花维权普法大讲堂3次、儿童关心关爱服务及庆祝六一活动4场次、石榴籽童心向党少年儿童研学夏令营活动4期、三新领域妇联组织观摩活动1次；组织巾帼家政服务员技能大赛1次。通过项目的实施，团结引领全州各族妇女为建设推进中国式现代化新疆实践的典范地州贡献巾帼力量，显著提升妇女儿童能的凝聚力和战斗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开展各类培训场次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开展各类活动次数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组织巾帼家政服务员技能大赛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-2.32%，偏差原因为：我单位在前期设定培训出勤率指标时，为确定项目产出的底线思维，设定了大于等于95%的保守目标值，故与实际完成值产生偏差；下一年度改进措施：总结本次项目的成功经验，在编制下一年度绩效目标时，结合实际执行能力，将培训出勤率目标值适当上调，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技能大赛费用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团结引领全州各族妇女为建设推进中国式现代化新疆实践的典范地州贡献巾帼力量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团结引领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团结引领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提升妇女儿童的凝聚力和战斗力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-1.58%，偏差原因为：我单位在前期设定满意度指标时，为确定项目产出的底线思维，设定了大于等于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-6.11%，偏差原因为：我单位在前期设定满意度指标时，为确定项目产出的底线思维，设定了大于等于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妇女儿童工作经费（自治区）</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新疆维吾尔自治区财政厅《关于提前下达2025年自治区联合会项目经费预算的通知》文件附带的区域目标表，结合昌吉州实际情况，2025年该项目计划在全州开展妇女培训班场次8场；线上展播优秀宣讲视频10次；参与宣讲人数40余人；全州开展8场“石榴花”巾帼宣讲员培训，培养更多优秀宣讲员并提升宣讲员能力；计划在全州组织400人以上的巾帼宣讲培训；命名组织自治区级“石榴花”巾帼创新创业基地，计划组织100人以上的宣讲培训。通过宣讲进一步增强妇女铸牢中华民族共同体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7.98万元，资金执行率99.75%，本项目实际在全州开展妇女培训班8场次；线上展播优秀宣讲视频10次；参与宣讲人数41人；全州开展8场“石榴花”巾帼宣讲员培训，培养更多优秀宣讲员并提升宣讲员能力；在全州组织413人的巾帼宣讲培训；命名组织自治区级“石榴花”巾帼创新创业基地1个，组织100人的宣讲培训。通过宣讲进一步增强妇女铸牢中华民族共同体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开展宣传场次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线上展播优秀宣讲视频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参与宣讲人数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-2.50%，偏差原因为：项目实施单位在活动前的宣传、通知和组织动员工作可能做得非常扎实、到位，有效提升了目标人群的参与意愿和实际到场率；下一年度改进措施：总结本次培训在保障和提升参与人数方面的有效做法，考虑在下一年度设定更具挑战性的质量目标，以推动工作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开展“石榴花”巾帼宣讲员培训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-3.25%，偏差原因为：培训内容设计更具吸引力、组织安排（如时间、地点）更合理、学员动员与通知工作更到位等因素有关；下一年度改进措施：总结本次培训在保障和提升出勤人数方面的有效做法，考虑在下一年度设定更具挑战性的质量目标，以推动工作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命名组织自治区级“石榴花”巾帼创新创业基地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自治区级“石榴花”巾帼创新创业基地培训人数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-1.05%，偏差原因为：培训内容设计更具吸引力、组织安排（如时间、地点）更合理、学员动员与通知工作更到位等因素有关；下一年度改进措施：总结本次培训在保障和提升出勤率方面的有效做法，考虑在下一年度设定更具挑战性的质量目标，以推动工作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石榴花巾帼大宣讲支出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“石榴花”巾帼创新创业基地经费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通过宣讲进一步增强妇女铸牢中华民族共同体意识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妇女群众满意度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-6.22%，偏差原因为：我单位在前期设定满意度指标时，为确定项目产出的底线思维，设定了大于等于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援疆干部补助工作经费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1位援疆干部，购买3批次生活用品办公用品，开展2次与援疆工作相关的慰问、交流等活动。通过该项目的实施，切实发挥援疆工作经费在促进闽昌两地交往交流交融中的作用，保障援疆工作顺利推进。二是促进援疆干部与当地干部群众交流，增进了解与团结，推动内地与新疆在经济、文化、技术等方面的合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1.78万元，资金执行率89.00%，本项目实际完成保障援疆干部1人，购买3批生活用品与办公用品，开展2次与援疆工作相关的慰问、交流活动。通过该项目的实施，切实发挥援疆工作经费在促进闽昌两地交往交流交融中的作用，保障援疆工作顺利推进。二是促进援疆干部与当地干部群众交流，增进了解与团结，推动内地与新疆在经济、文化、技术等方面的合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保障援疆干部数量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购买生活用品办公用品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开展与援疆工作相关的慰问、交流等活动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办公用品生活用品采购率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与援疆工作相关的工作经费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偏差原因为：项目人员严格控制工作经费开支，导致实际支出较年初预算有一定的结余，结余资金0.01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办公用品和生活用品费用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14%，偏差原因为：项目人员严格控制工作经费开支，导致实际支出较年初预算有一定的结余，结余资金0.21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保障援疆工作顺利推进，提高工作效率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5.56%，偏差原因为：我单位在前期设定满意度指标时，为确定项目产出的底线思维，设定了大于等于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昌吉州“石榴花”妇女儿童工作专业化能力提升培训班经费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昌吉州2024年干部人才教育培训计划》统一安排，组织开展昌吉州“石榴花”妇女儿童工作专业化能力提升培训班1次，培训学员35名，乡镇、村社区学员占比人数达到40%，计划2025年6月30日完成。通过项目的实施，提升妇女儿童工作专业化能力，学员满意度达到98%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5.1万元，资金执行率100.00%，本项目实际完成组织开展昌吉州“石榴花”妇女儿童工作专业化能力提升培训班1次，培训学员35名，乡镇、村社区学员占比人数达到42.86%，通过本项目的实施，提升妇女儿童工作专业化能力，学员满意度达到99.80%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开展昌吉州“石榴花”妇女儿童工作专业化能力提升培训班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参加培训班乡镇、村社区学员人数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按规定乡镇、村社区学员占比人数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121.43%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-21.43%，偏差原因为：培训学员选派环节执行了明确的政策倾斜，根据规定，明确要求“乡镇（街道）、村（社区）正式在编、在岗干部人才”参训，且其往返交通费可获专项补助。最终实际选派乡镇、村社区学员17人，占培训班总人数（35人）的48.57%；下一年度改进措施：制定更精细化的学员选派标准与结构规划。不仅关注总体占比，还可对乡镇、村社区学员的内部结构提出指导性意见，如确保村级学员占有一定比例，或向重点乡村、示范社区倾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妇女儿童工作专业化能力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乡镇、村社区学员满意度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-1.84%，偏差原因为：我单位在前期设定满意度指标时，为确保项目产出的安全性和底线思维，设定了≥98%的保守目标值。项目实际执行中，由于培训内容精准匹配基层需求、组织管理规范有序、对学员关怀到位，学员反馈极佳，故实际完成值（99.8%）显著优于保守预期，导致与预设目标之间产生偏差；下一年度改进措施：总结本次项目的成功经验，在编制下一年度绩效目标时，结合项目实施能力和质量提升潜力，将满意度目标值进行适当上调（例如从≥98%上调至≥98.5%或更高），以此树立更高标准，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昌吉州妇女第十三次代表大会</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中华全国妇女联合会章程》《妇女联合会选举工作条例》、自治区妇联有关做好妇联换届工作的要求和《昌吉州群团组织改革方案》的有关规定，召开昌吉回族自治州妇女第十三次代表大会，参加会议代表230人，通过会议，团结动员引领全州各族各界妇女在昌吉州高质量发展中激扬巾帼之志、奉献巾帼之力、共创巾帼业绩。</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16.06万元，资金执行率99.88%，本项目实际完成举办昌吉州妇女第三次代表大会1次，参加会议代表人数198人。通过本项目的实施，团结动员引领全州各族各界妇女在昌吉州高质量发展中激扬巾帼之志、奉献巾帼之力、共创巾帼业绩。</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举办昌吉州妇女第三次代表大会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参加会议代表人数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13.91%，偏差原因为：实际参会代表人数（198人）较预算（230人）少了32人。这是由于部分代表因健康、工作冲突等客观原因临时请假、部分代表团最终推选的代表人数未达预期形成的；下一年度改进措施：在下次大会筹备初期，更审慎地根据基层组织实际情况核定代表名额，制定更符合实际需求的人数预算，并在会议前增加1-2轮参会回执确认流程，提前准确掌握到会人数，动态更新参会名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87.85%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此项指标未完成，存在偏差，偏差率为12.15%，偏差原因为：此问题与 “参会代表人数”问题高度关联，实际到会人数（198人）低于预算人数（230人），在计算出席比率时，导致出勤率数值偏低，其根本原因同样为代表未能全部到会；下一年度改进措施：采取与“参加会议代表人数”相同的改进措施，从源头上确保应到代表能尽量参会，从而提升出勤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会议人员费用支出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会议其他费用支出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0.21%，偏差原因为：项目人员严格控制费用开支，导致实际支出较年初预算有一定的结余，结余资金0.02万元；下一年度改进措施：提高预算编制准确性，确保后续各类费用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推动妇女全面发展、保障妇女权益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团结动员引领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参会代表满意度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-3.68%，偏差原因为：大会的组织、服务、议程安排、后勤保障等各方面工作获得了与会代表的高度认可，参会代表满意度偏高；下一年度改进措施：在保障服务质量不降低的前提下，可为下一年度或下一次大型会议设定一个更具激励性的目标（例如，将满意度目标值从≥95%提升至≥97%或维持≥98%），并配套上述精细化措施，推动会务工作持续优化。</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自治州妇女儿童发展和家庭建设项目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昌吉回族自治州妇女联合会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12万元，根据2025年州党委财经委员会第二次会议纪要精神，州妇联将紧紧围绕州党委、政府中心工作，努力在优化提升家庭服务水平、维护妇女儿童关爱服务等重点工作中，实施建设“石榴花”家庭教育指导中心1个，开展家庭教育工作实践活动2次、开展家庭培训讲座6场次，惠及全州各族妇女儿童和家庭的项目，依法保护未成年人合法权益，推动自治州妇女儿童和家庭工作高质量发展具有重要意义。</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万元，资金执行率100%，本项目实际完成建设“石榴花”家庭教育指导中心1个，开展家庭教育工作实践活动2次，开展家庭培训讲座6场次。通过本项目的实施，依法保护未成年人合法权益，对推动自治州妇女儿童和家庭工作高质量发展具有重要意义</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建设“石榴花”家庭教育指导服务中心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开展家庭教育工作实践活动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开展家庭培训讲座及宣传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实践活动支出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培训讲座及宣传支出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推动自治州妇女儿童和家庭工作高质量发展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妇女儿童满意度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-2.63%，偏差原因为：我单位在前期设定满意度指标时，为确定项目产出的底线思维，设定了大于等于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本年本单位其他项目1个，全年预算数1.04万元，全年执行数1.04万元。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