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CDE1098">
      <w:pPr>
        <w:rPr>
          <w:rFonts w:hint="eastAsia" w:ascii="黑体" w:hAnsi="黑体" w:eastAsia="黑体"/>
          <w:sz w:val="32"/>
          <w:szCs w:val="32"/>
        </w:rPr>
      </w:pPr>
    </w:p>
    <w:p w14:paraId="7E2F62AB">
      <w:pPr>
        <w:jc w:val="center"/>
        <w:rPr>
          <w:rFonts w:hint="eastAsia" w:ascii="方正小标宋_GBK" w:hAnsi="宋体" w:eastAsia="方正小标宋_GBK"/>
          <w:sz w:val="44"/>
          <w:szCs w:val="44"/>
        </w:rPr>
      </w:pPr>
    </w:p>
    <w:p w14:paraId="7AE936F3">
      <w:pPr>
        <w:jc w:val="center"/>
        <w:rPr>
          <w:rFonts w:hint="eastAsia" w:ascii="方正小标宋_GBK" w:hAnsi="宋体" w:eastAsia="方正小标宋_GBK"/>
          <w:sz w:val="44"/>
          <w:szCs w:val="44"/>
        </w:rPr>
      </w:pPr>
    </w:p>
    <w:p w14:paraId="5FEDF9CB">
      <w:pPr>
        <w:jc w:val="center"/>
        <w:rPr>
          <w:rFonts w:hint="eastAsia" w:ascii="方正小标宋_GBK" w:hAnsi="宋体" w:eastAsia="方正小标宋_GBK"/>
          <w:sz w:val="44"/>
          <w:szCs w:val="44"/>
        </w:rPr>
      </w:pPr>
    </w:p>
    <w:p w14:paraId="4794C1C7">
      <w:pPr>
        <w:jc w:val="center"/>
        <w:rPr>
          <w:rFonts w:hint="eastAsia" w:ascii="方正小标宋_GBK" w:hAnsi="宋体" w:eastAsia="方正小标宋_GBK"/>
          <w:sz w:val="44"/>
          <w:szCs w:val="44"/>
        </w:rPr>
      </w:pPr>
    </w:p>
    <w:p w14:paraId="2FB3E0A1">
      <w:pPr>
        <w:spacing w:line="640" w:lineRule="exact"/>
        <w:jc w:val="center"/>
        <w:rPr>
          <w:rFonts w:hint="eastAsia" w:ascii="方正小标宋_GBK" w:hAnsi="宋体" w:eastAsia="方正小标宋_GBK"/>
          <w:sz w:val="44"/>
          <w:szCs w:val="44"/>
        </w:rPr>
      </w:pPr>
      <w:r>
        <w:rPr>
          <w:rFonts w:hint="eastAsia" w:ascii="方正小标宋_GBK" w:hAnsi="宋体" w:eastAsia="方正小标宋_GBK"/>
          <w:sz w:val="44"/>
          <w:szCs w:val="44"/>
        </w:rPr>
        <w:t>昌吉回族自治州动物疾病预防控制中心</w:t>
      </w:r>
    </w:p>
    <w:p w14:paraId="55AD8026">
      <w:pPr>
        <w:spacing w:line="640" w:lineRule="exact"/>
        <w:jc w:val="center"/>
        <w:rPr>
          <w:rFonts w:hint="eastAsia" w:ascii="方正小标宋_GBK" w:hAnsi="宋体" w:eastAsia="方正小标宋_GBK"/>
          <w:sz w:val="44"/>
          <w:szCs w:val="44"/>
        </w:rPr>
      </w:pPr>
      <w:r>
        <w:rPr>
          <w:rFonts w:hint="eastAsia" w:ascii="方正小标宋_GBK" w:hAnsi="宋体" w:eastAsia="方正小标宋_GBK"/>
          <w:sz w:val="44"/>
          <w:szCs w:val="44"/>
        </w:rPr>
        <w:t>2025年度部门决算公开说明</w:t>
      </w:r>
      <w:bookmarkStart w:id="0" w:name="_GoBack"/>
      <w:bookmarkEnd w:id="0"/>
      <w:r>
        <w:rPr>
          <w:rFonts w:hint="eastAsia" w:ascii="方正小标宋_GBK" w:hAnsi="宋体" w:eastAsia="方正小标宋_GBK"/>
          <w:sz w:val="44"/>
          <w:szCs w:val="44"/>
        </w:rPr>
        <w:t/>
      </w:r>
    </w:p>
    <w:p w14:paraId="7C1A23FE">
      <w:pPr>
        <w:spacing w:line="600" w:lineRule="exact"/>
        <w:jc w:val="center"/>
        <w:rPr>
          <w:rFonts w:hint="eastAsia" w:ascii="仿宋_GB2312" w:hAnsi="仿宋_GB2312" w:eastAsia="仿宋_GB2312" w:cs="仿宋_GB2312"/>
          <w:bCs/>
          <w:kern w:val="0"/>
          <w:sz w:val="32"/>
          <w:szCs w:val="32"/>
        </w:rPr>
      </w:pPr>
      <w:r>
        <w:rPr>
          <w:rFonts w:hint="eastAsia" w:ascii="方正小标宋_GBK" w:hAnsi="宋体" w:eastAsia="方正小标宋_GBK"/>
          <w:sz w:val="44"/>
          <w:szCs w:val="44"/>
        </w:rPr>
        <w:br w:type="page"/>
      </w:r>
      <w:r>
        <w:rPr>
          <w:rFonts w:hint="eastAsia" w:ascii="仿宋_GB2312" w:hAnsi="仿宋_GB2312" w:eastAsia="仿宋_GB2312" w:cs="仿宋_GB2312"/>
          <w:b/>
          <w:kern w:val="0"/>
          <w:sz w:val="36"/>
          <w:szCs w:val="36"/>
        </w:rPr>
        <w:t>目  录</w:t>
      </w:r>
    </w:p>
    <w:p w14:paraId="11E3C096">
      <w:pPr>
        <w:pStyle w:val="6"/>
        <w:tabs>
          <w:tab w:val="right" w:leader="dot" w:pos="8306"/>
        </w:tabs>
        <w:spacing w:line="60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TOC \o "1-3" \n  \h \u </w:instrText>
      </w:r>
      <w:r>
        <w:rPr>
          <w:rFonts w:hint="eastAsia" w:ascii="仿宋_GB2312" w:hAnsi="仿宋_GB2312" w:eastAsia="仿宋_GB2312" w:cs="仿宋_GB2312"/>
          <w:sz w:val="32"/>
          <w:szCs w:val="32"/>
        </w:rPr>
        <w:fldChar w:fldCharType="separate"/>
      </w:r>
      <w:r>
        <w:fldChar w:fldCharType="begin"/>
      </w:r>
      <w:r>
        <w:instrText xml:space="preserve"> HYPERLINK \l "_Toc31918" </w:instrText>
      </w:r>
      <w:r>
        <w:fldChar w:fldCharType="separate"/>
      </w:r>
      <w:r>
        <w:rPr>
          <w:rFonts w:hint="eastAsia" w:ascii="仿宋_GB2312" w:hAnsi="仿宋_GB2312" w:eastAsia="仿宋_GB2312" w:cs="仿宋_GB2312"/>
          <w:b/>
          <w:bCs/>
          <w:sz w:val="32"/>
          <w:szCs w:val="32"/>
        </w:rPr>
        <w:t>第一部分 单位概况</w:t>
      </w:r>
      <w:r>
        <w:rPr>
          <w:rFonts w:hint="eastAsia" w:ascii="仿宋_GB2312" w:hAnsi="仿宋_GB2312" w:eastAsia="仿宋_GB2312" w:cs="仿宋_GB2312"/>
          <w:b/>
          <w:bCs/>
          <w:sz w:val="32"/>
          <w:szCs w:val="32"/>
        </w:rPr>
        <w:fldChar w:fldCharType="end"/>
      </w:r>
    </w:p>
    <w:p w14:paraId="695FF0F6">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"_Toc2898" </w:instrText>
      </w:r>
      <w:r>
        <w:fldChar w:fldCharType="separate"/>
      </w:r>
      <w:r>
        <w:rPr>
          <w:rFonts w:hint="eastAsia" w:ascii="仿宋_GB2312" w:hAnsi="仿宋_GB2312" w:eastAsia="仿宋_GB2312" w:cs="仿宋_GB2312"/>
          <w:bCs/>
          <w:kern w:val="0"/>
          <w:sz w:val="32"/>
          <w:szCs w:val="32"/>
        </w:rPr>
        <w:t>一、主要职能</w:t>
      </w:r>
      <w:r>
        <w:rPr>
          <w:rFonts w:hint="eastAsia" w:ascii="仿宋_GB2312" w:hAnsi="仿宋_GB2312" w:eastAsia="仿宋_GB2312" w:cs="仿宋_GB2312"/>
          <w:bCs/>
          <w:kern w:val="0"/>
          <w:sz w:val="32"/>
          <w:szCs w:val="32"/>
        </w:rPr>
        <w:fldChar w:fldCharType="end"/>
      </w:r>
    </w:p>
    <w:p w14:paraId="20AC0F98">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"_Toc1387" </w:instrText>
      </w:r>
      <w:r>
        <w:fldChar w:fldCharType="separate"/>
      </w:r>
      <w:r>
        <w:rPr>
          <w:rFonts w:hint="eastAsia" w:ascii="仿宋_GB2312" w:hAnsi="仿宋_GB2312" w:eastAsia="仿宋_GB2312" w:cs="仿宋_GB2312"/>
          <w:bCs/>
          <w:kern w:val="0"/>
          <w:sz w:val="32"/>
          <w:szCs w:val="32"/>
        </w:rPr>
        <w:t>二、机构设置</w:t>
      </w:r>
      <w:r>
        <w:rPr>
          <w:rFonts w:hint="eastAsia" w:ascii="仿宋_GB2312" w:hAnsi="仿宋_GB2312" w:eastAsia="仿宋_GB2312" w:cs="仿宋_GB2312"/>
          <w:bCs/>
          <w:kern w:val="0"/>
          <w:sz w:val="32"/>
          <w:szCs w:val="32"/>
        </w:rPr>
        <w:fldChar w:fldCharType="end"/>
      </w:r>
    </w:p>
    <w:p w14:paraId="03DF0839">
      <w:pPr>
        <w:pStyle w:val="6"/>
        <w:tabs>
          <w:tab w:val="right" w:leader="dot" w:pos="8306"/>
        </w:tabs>
        <w:spacing w:line="600" w:lineRule="exact"/>
        <w:rPr>
          <w:rFonts w:hint="eastAsia" w:ascii="仿宋_GB2312" w:hAnsi="仿宋_GB2312" w:eastAsia="仿宋_GB2312" w:cs="仿宋_GB2312"/>
          <w:b/>
          <w:bCs/>
          <w:sz w:val="32"/>
          <w:szCs w:val="32"/>
        </w:rPr>
      </w:pPr>
      <w:r>
        <w:fldChar w:fldCharType="begin"/>
      </w:r>
      <w:r>
        <w:instrText xml:space="preserve"> HYPERLINK \l "_Toc7559" </w:instrText>
      </w:r>
      <w:r>
        <w:fldChar w:fldCharType="separate"/>
      </w:r>
      <w:r>
        <w:rPr>
          <w:rFonts w:hint="eastAsia" w:ascii="仿宋_GB2312" w:hAnsi="仿宋_GB2312" w:eastAsia="仿宋_GB2312" w:cs="仿宋_GB2312"/>
          <w:b/>
          <w:bCs/>
          <w:sz w:val="32"/>
          <w:szCs w:val="32"/>
        </w:rPr>
        <w:t>第二部分 部门决算情况说明</w:t>
      </w:r>
      <w:r>
        <w:rPr>
          <w:rFonts w:hint="eastAsia" w:ascii="仿宋_GB2312" w:hAnsi="仿宋_GB2312" w:eastAsia="仿宋_GB2312" w:cs="仿宋_GB2312"/>
          <w:b/>
          <w:bCs/>
          <w:sz w:val="32"/>
          <w:szCs w:val="32"/>
        </w:rPr>
        <w:fldChar w:fldCharType="end"/>
      </w:r>
    </w:p>
    <w:p w14:paraId="1E4B298F">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"_Toc6321" </w:instrText>
      </w:r>
      <w:r>
        <w:fldChar w:fldCharType="separate"/>
      </w:r>
      <w:r>
        <w:rPr>
          <w:rFonts w:hint="eastAsia" w:ascii="仿宋_GB2312" w:hAnsi="仿宋_GB2312" w:eastAsia="仿宋_GB2312" w:cs="仿宋_GB2312"/>
          <w:bCs/>
          <w:kern w:val="0"/>
          <w:sz w:val="32"/>
          <w:szCs w:val="32"/>
        </w:rPr>
        <w:t>一、收入支出决算总体情况说明</w:t>
      </w:r>
      <w:r>
        <w:rPr>
          <w:rFonts w:hint="eastAsia" w:ascii="仿宋_GB2312" w:hAnsi="仿宋_GB2312" w:eastAsia="仿宋_GB2312" w:cs="仿宋_GB2312"/>
          <w:bCs/>
          <w:kern w:val="0"/>
          <w:sz w:val="32"/>
          <w:szCs w:val="32"/>
        </w:rPr>
        <w:fldChar w:fldCharType="end"/>
      </w:r>
    </w:p>
    <w:p w14:paraId="448604ED">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"_Toc6311" </w:instrText>
      </w:r>
      <w:r>
        <w:fldChar w:fldCharType="separate"/>
      </w:r>
      <w:r>
        <w:rPr>
          <w:rFonts w:hint="eastAsia" w:ascii="仿宋_GB2312" w:hAnsi="仿宋_GB2312" w:eastAsia="仿宋_GB2312" w:cs="仿宋_GB2312"/>
          <w:bCs/>
          <w:kern w:val="0"/>
          <w:sz w:val="32"/>
          <w:szCs w:val="32"/>
        </w:rPr>
        <w:t>二、收入决算情况说明</w:t>
      </w:r>
      <w:r>
        <w:rPr>
          <w:rFonts w:hint="eastAsia" w:ascii="仿宋_GB2312" w:hAnsi="仿宋_GB2312" w:eastAsia="仿宋_GB2312" w:cs="仿宋_GB2312"/>
          <w:bCs/>
          <w:kern w:val="0"/>
          <w:sz w:val="32"/>
          <w:szCs w:val="32"/>
        </w:rPr>
        <w:fldChar w:fldCharType="end"/>
      </w:r>
    </w:p>
    <w:p w14:paraId="6477D7DB">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"_Toc20629" </w:instrText>
      </w:r>
      <w:r>
        <w:fldChar w:fldCharType="separate"/>
      </w:r>
      <w:r>
        <w:rPr>
          <w:rFonts w:hint="eastAsia" w:ascii="仿宋_GB2312" w:hAnsi="仿宋_GB2312" w:eastAsia="仿宋_GB2312" w:cs="仿宋_GB2312"/>
          <w:bCs/>
          <w:kern w:val="0"/>
          <w:sz w:val="32"/>
          <w:szCs w:val="32"/>
        </w:rPr>
        <w:t>三、支出决算情况说明</w:t>
      </w:r>
      <w:r>
        <w:rPr>
          <w:rFonts w:hint="eastAsia" w:ascii="仿宋_GB2312" w:hAnsi="仿宋_GB2312" w:eastAsia="仿宋_GB2312" w:cs="仿宋_GB2312"/>
          <w:bCs/>
          <w:kern w:val="0"/>
          <w:sz w:val="32"/>
          <w:szCs w:val="32"/>
        </w:rPr>
        <w:fldChar w:fldCharType="end"/>
      </w:r>
    </w:p>
    <w:p w14:paraId="64A0CBA4">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"_Toc7371" </w:instrText>
      </w:r>
      <w:r>
        <w:fldChar w:fldCharType="separate"/>
      </w:r>
      <w:r>
        <w:rPr>
          <w:rFonts w:hint="eastAsia" w:ascii="仿宋_GB2312" w:hAnsi="仿宋_GB2312" w:eastAsia="仿宋_GB2312" w:cs="仿宋_GB2312"/>
          <w:bCs/>
          <w:kern w:val="0"/>
          <w:sz w:val="32"/>
          <w:szCs w:val="32"/>
        </w:rPr>
        <w:t>四、财政拨款收入支出决算总体情况说明</w:t>
      </w:r>
      <w:r>
        <w:rPr>
          <w:rFonts w:hint="eastAsia" w:ascii="仿宋_GB2312" w:hAnsi="仿宋_GB2312" w:eastAsia="仿宋_GB2312" w:cs="仿宋_GB2312"/>
          <w:bCs/>
          <w:kern w:val="0"/>
          <w:sz w:val="32"/>
          <w:szCs w:val="32"/>
        </w:rPr>
        <w:fldChar w:fldCharType="end"/>
      </w:r>
    </w:p>
    <w:p w14:paraId="07B13FAD">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"_Toc18905" </w:instrText>
      </w:r>
      <w:r>
        <w:fldChar w:fldCharType="separate"/>
      </w:r>
      <w:r>
        <w:rPr>
          <w:rFonts w:hint="eastAsia" w:ascii="仿宋_GB2312" w:hAnsi="仿宋_GB2312" w:eastAsia="仿宋_GB2312" w:cs="仿宋_GB2312"/>
          <w:bCs/>
          <w:kern w:val="0"/>
          <w:sz w:val="32"/>
          <w:szCs w:val="32"/>
        </w:rPr>
        <w:t>五、一般公共预算财政拨款支出决算情况说明</w:t>
      </w:r>
      <w:r>
        <w:rPr>
          <w:rFonts w:hint="eastAsia" w:ascii="仿宋_GB2312" w:hAnsi="仿宋_GB2312" w:eastAsia="仿宋_GB2312" w:cs="仿宋_GB2312"/>
          <w:bCs/>
          <w:kern w:val="0"/>
          <w:sz w:val="32"/>
          <w:szCs w:val="32"/>
        </w:rPr>
        <w:fldChar w:fldCharType="end"/>
      </w:r>
    </w:p>
    <w:p w14:paraId="35E4954F">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"_Toc1165" </w:instrText>
      </w:r>
      <w:r>
        <w:fldChar w:fldCharType="separate"/>
      </w:r>
      <w:r>
        <w:rPr>
          <w:rFonts w:hint="eastAsia" w:ascii="仿宋_GB2312" w:hAnsi="仿宋_GB2312" w:eastAsia="仿宋_GB2312" w:cs="仿宋_GB2312"/>
          <w:sz w:val="32"/>
          <w:szCs w:val="32"/>
        </w:rPr>
        <w:t>（一）一般公共预算财政拨款支出决算总体情况</w:t>
      </w:r>
      <w:r>
        <w:rPr>
          <w:rFonts w:hint="eastAsia" w:ascii="仿宋_GB2312" w:hAnsi="仿宋_GB2312" w:eastAsia="仿宋_GB2312" w:cs="仿宋_GB2312"/>
          <w:sz w:val="32"/>
          <w:szCs w:val="32"/>
        </w:rPr>
        <w:fldChar w:fldCharType="end"/>
      </w:r>
    </w:p>
    <w:p w14:paraId="1D40B9CA">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"_Toc27147" </w:instrText>
      </w:r>
      <w:r>
        <w:fldChar w:fldCharType="separate"/>
      </w:r>
      <w:r>
        <w:rPr>
          <w:rFonts w:hint="eastAsia" w:ascii="仿宋_GB2312" w:hAnsi="仿宋_GB2312" w:eastAsia="仿宋_GB2312" w:cs="仿宋_GB2312"/>
          <w:sz w:val="32"/>
          <w:szCs w:val="32"/>
        </w:rPr>
        <w:t>（二）一般公共预算财政拨款支出决算结构情况</w:t>
      </w:r>
      <w:r>
        <w:rPr>
          <w:rFonts w:hint="eastAsia" w:ascii="仿宋_GB2312" w:hAnsi="仿宋_GB2312" w:eastAsia="仿宋_GB2312" w:cs="仿宋_GB2312"/>
          <w:sz w:val="32"/>
          <w:szCs w:val="32"/>
        </w:rPr>
        <w:fldChar w:fldCharType="end"/>
      </w:r>
    </w:p>
    <w:p w14:paraId="572435CD">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"_Toc10037" </w:instrText>
      </w:r>
      <w:r>
        <w:fldChar w:fldCharType="separate"/>
      </w:r>
      <w:r>
        <w:rPr>
          <w:rFonts w:hint="eastAsia" w:ascii="仿宋_GB2312" w:hAnsi="仿宋_GB2312" w:eastAsia="仿宋_GB2312" w:cs="仿宋_GB2312"/>
          <w:sz w:val="32"/>
          <w:szCs w:val="32"/>
        </w:rPr>
        <w:t>（三）一般公共预算财政拨款支出决算具体情况</w:t>
      </w:r>
      <w:r>
        <w:rPr>
          <w:rFonts w:hint="eastAsia" w:ascii="仿宋_GB2312" w:hAnsi="仿宋_GB2312" w:eastAsia="仿宋_GB2312" w:cs="仿宋_GB2312"/>
          <w:sz w:val="32"/>
          <w:szCs w:val="32"/>
        </w:rPr>
        <w:fldChar w:fldCharType="end"/>
      </w:r>
    </w:p>
    <w:p w14:paraId="2330D4E3">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"_Toc23415" </w:instrText>
      </w:r>
      <w:r>
        <w:fldChar w:fldCharType="separate"/>
      </w:r>
      <w:r>
        <w:rPr>
          <w:rFonts w:hint="eastAsia" w:ascii="仿宋_GB2312" w:hAnsi="仿宋_GB2312" w:eastAsia="仿宋_GB2312" w:cs="仿宋_GB2312"/>
          <w:bCs/>
          <w:kern w:val="0"/>
          <w:sz w:val="32"/>
          <w:szCs w:val="32"/>
        </w:rPr>
        <w:t>六、一般公共预算财政拨款基本支出决算情况说明</w:t>
      </w:r>
      <w:r>
        <w:rPr>
          <w:rFonts w:hint="eastAsia" w:ascii="仿宋_GB2312" w:hAnsi="仿宋_GB2312" w:eastAsia="仿宋_GB2312" w:cs="仿宋_GB2312"/>
          <w:bCs/>
          <w:kern w:val="0"/>
          <w:sz w:val="32"/>
          <w:szCs w:val="32"/>
        </w:rPr>
        <w:fldChar w:fldCharType="end"/>
      </w:r>
    </w:p>
    <w:p w14:paraId="2363D305">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"_Toc7523" </w:instrText>
      </w:r>
      <w:r>
        <w:fldChar w:fldCharType="separate"/>
      </w:r>
      <w:r>
        <w:rPr>
          <w:rFonts w:hint="eastAsia" w:ascii="仿宋_GB2312" w:hAnsi="仿宋_GB2312" w:eastAsia="仿宋_GB2312" w:cs="仿宋_GB2312"/>
          <w:bCs/>
          <w:kern w:val="0"/>
          <w:sz w:val="32"/>
          <w:szCs w:val="32"/>
        </w:rPr>
        <w:t>七、政府性基金预算财政拨款收入支出决算情况说明</w:t>
      </w:r>
      <w:r>
        <w:rPr>
          <w:rFonts w:hint="eastAsia" w:ascii="仿宋_GB2312" w:hAnsi="仿宋_GB2312" w:eastAsia="仿宋_GB2312" w:cs="仿宋_GB2312"/>
          <w:bCs/>
          <w:kern w:val="0"/>
          <w:sz w:val="32"/>
          <w:szCs w:val="32"/>
        </w:rPr>
        <w:fldChar w:fldCharType="end"/>
      </w:r>
    </w:p>
    <w:p w14:paraId="47A33664">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"_Toc5563" </w:instrText>
      </w:r>
      <w:r>
        <w:fldChar w:fldCharType="separate"/>
      </w:r>
      <w:r>
        <w:rPr>
          <w:rFonts w:hint="eastAsia" w:ascii="仿宋_GB2312" w:hAnsi="仿宋_GB2312" w:eastAsia="仿宋_GB2312" w:cs="仿宋_GB2312"/>
          <w:bCs/>
          <w:kern w:val="0"/>
          <w:sz w:val="32"/>
          <w:szCs w:val="32"/>
        </w:rPr>
        <w:t>八、国有资本经营预算财政拨款收入支出决算情况说明</w:t>
      </w:r>
      <w:r>
        <w:rPr>
          <w:rFonts w:hint="eastAsia" w:ascii="仿宋_GB2312" w:hAnsi="仿宋_GB2312" w:eastAsia="仿宋_GB2312" w:cs="仿宋_GB2312"/>
          <w:bCs/>
          <w:kern w:val="0"/>
          <w:sz w:val="32"/>
          <w:szCs w:val="32"/>
        </w:rPr>
        <w:fldChar w:fldCharType="end"/>
      </w:r>
    </w:p>
    <w:p w14:paraId="5B6A706B">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"_Toc9161" </w:instrText>
      </w:r>
      <w:r>
        <w:fldChar w:fldCharType="separate"/>
      </w:r>
      <w:r>
        <w:rPr>
          <w:rFonts w:hint="eastAsia" w:ascii="仿宋_GB2312" w:hAnsi="仿宋_GB2312" w:eastAsia="仿宋_GB2312" w:cs="仿宋_GB2312"/>
          <w:bCs/>
          <w:kern w:val="0"/>
          <w:sz w:val="32"/>
          <w:szCs w:val="32"/>
        </w:rPr>
        <w:t>九、财政拨款“三公”经费支出决算情况说明</w:t>
      </w:r>
      <w:r>
        <w:rPr>
          <w:rFonts w:hint="eastAsia" w:ascii="仿宋_GB2312" w:hAnsi="仿宋_GB2312" w:eastAsia="仿宋_GB2312" w:cs="仿宋_GB2312"/>
          <w:bCs/>
          <w:kern w:val="0"/>
          <w:sz w:val="32"/>
          <w:szCs w:val="32"/>
        </w:rPr>
        <w:fldChar w:fldCharType="end"/>
      </w:r>
    </w:p>
    <w:p w14:paraId="1D67ADC3">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"_Toc16395" </w:instrText>
      </w:r>
      <w:r>
        <w:fldChar w:fldCharType="separate"/>
      </w:r>
      <w:r>
        <w:rPr>
          <w:rFonts w:hint="eastAsia" w:ascii="仿宋_GB2312" w:hAnsi="仿宋_GB2312" w:eastAsia="仿宋_GB2312" w:cs="仿宋_GB2312"/>
          <w:bCs/>
          <w:kern w:val="0"/>
          <w:sz w:val="32"/>
          <w:szCs w:val="32"/>
        </w:rPr>
        <w:t>十、其他重要事项的情况说明</w:t>
      </w:r>
      <w:r>
        <w:rPr>
          <w:rFonts w:hint="eastAsia" w:ascii="仿宋_GB2312" w:hAnsi="仿宋_GB2312" w:eastAsia="仿宋_GB2312" w:cs="仿宋_GB2312"/>
          <w:bCs/>
          <w:kern w:val="0"/>
          <w:sz w:val="32"/>
          <w:szCs w:val="32"/>
        </w:rPr>
        <w:fldChar w:fldCharType="end"/>
      </w:r>
    </w:p>
    <w:p w14:paraId="2D81D31B">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"_Toc21748" </w:instrText>
      </w:r>
      <w:r>
        <w:fldChar w:fldCharType="separate"/>
      </w:r>
      <w:r>
        <w:rPr>
          <w:rFonts w:hint="eastAsia" w:ascii="仿宋_GB2312" w:hAnsi="仿宋_GB2312" w:eastAsia="仿宋_GB2312" w:cs="仿宋_GB2312"/>
          <w:sz w:val="32"/>
          <w:szCs w:val="32"/>
        </w:rPr>
        <w:t>（一）机关运行经费及公用经费支出情况</w:t>
      </w:r>
      <w:r>
        <w:rPr>
          <w:rFonts w:hint="eastAsia" w:ascii="仿宋_GB2312" w:hAnsi="仿宋_GB2312" w:eastAsia="仿宋_GB2312" w:cs="仿宋_GB2312"/>
          <w:sz w:val="32"/>
          <w:szCs w:val="32"/>
        </w:rPr>
        <w:fldChar w:fldCharType="end"/>
      </w:r>
    </w:p>
    <w:p w14:paraId="688C6E4D">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"_Toc25177" </w:instrText>
      </w:r>
      <w:r>
        <w:fldChar w:fldCharType="separate"/>
      </w:r>
      <w:r>
        <w:rPr>
          <w:rFonts w:hint="eastAsia" w:ascii="仿宋_GB2312" w:hAnsi="仿宋_GB2312" w:eastAsia="仿宋_GB2312" w:cs="仿宋_GB2312"/>
          <w:sz w:val="32"/>
          <w:szCs w:val="32"/>
        </w:rPr>
        <w:t>（二）政府采购情况</w:t>
      </w:r>
      <w:r>
        <w:rPr>
          <w:rFonts w:hint="eastAsia" w:ascii="仿宋_GB2312" w:hAnsi="仿宋_GB2312" w:eastAsia="仿宋_GB2312" w:cs="仿宋_GB2312"/>
          <w:sz w:val="32"/>
          <w:szCs w:val="32"/>
        </w:rPr>
        <w:fldChar w:fldCharType="end"/>
      </w:r>
    </w:p>
    <w:p w14:paraId="6E70625A">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"_Toc31294" </w:instrText>
      </w:r>
      <w:r>
        <w:fldChar w:fldCharType="separate"/>
      </w:r>
      <w:r>
        <w:rPr>
          <w:rFonts w:hint="eastAsia" w:ascii="仿宋_GB2312" w:hAnsi="仿宋_GB2312" w:eastAsia="仿宋_GB2312" w:cs="仿宋_GB2312"/>
          <w:sz w:val="32"/>
          <w:szCs w:val="32"/>
        </w:rPr>
        <w:t>（三）国有资产占用情况说明</w:t>
      </w:r>
      <w:r>
        <w:rPr>
          <w:rFonts w:hint="eastAsia" w:ascii="仿宋_GB2312" w:hAnsi="仿宋_GB2312" w:eastAsia="仿宋_GB2312" w:cs="仿宋_GB2312"/>
          <w:sz w:val="32"/>
          <w:szCs w:val="32"/>
        </w:rPr>
        <w:fldChar w:fldCharType="end"/>
      </w:r>
    </w:p>
    <w:p w14:paraId="687A037D">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"_Toc17664" </w:instrText>
      </w:r>
      <w:r>
        <w:fldChar w:fldCharType="separate"/>
      </w:r>
      <w:r>
        <w:rPr>
          <w:rFonts w:hint="eastAsia" w:ascii="仿宋_GB2312" w:hAnsi="仿宋_GB2312" w:eastAsia="仿宋_GB2312" w:cs="仿宋_GB2312"/>
          <w:bCs/>
          <w:kern w:val="0"/>
          <w:sz w:val="32"/>
          <w:szCs w:val="32"/>
        </w:rPr>
        <w:t>十一、预算绩效的情况说明</w:t>
      </w:r>
      <w:r>
        <w:rPr>
          <w:rFonts w:hint="eastAsia" w:ascii="仿宋_GB2312" w:hAnsi="仿宋_GB2312" w:eastAsia="仿宋_GB2312" w:cs="仿宋_GB2312"/>
          <w:bCs/>
          <w:kern w:val="0"/>
          <w:sz w:val="32"/>
          <w:szCs w:val="32"/>
        </w:rPr>
        <w:fldChar w:fldCharType="end"/>
      </w:r>
    </w:p>
    <w:p w14:paraId="2BE4C8B9">
      <w:pPr>
        <w:spacing w:line="600" w:lineRule="exact"/>
        <w:rPr>
          <w:rFonts w:eastAsia="仿宋_GB2312"/>
        </w:rPr>
      </w:pPr>
      <w:r>
        <w:rPr>
          <w:rFonts w:hint="eastAsia" w:ascii="仿宋_GB2312" w:hAnsi="仿宋_GB2312" w:eastAsia="仿宋_GB2312" w:cs="仿宋_GB2312"/>
          <w:sz w:val="32"/>
          <w:szCs w:val="32"/>
        </w:rPr>
        <w:t>十二、</w:t>
      </w:r>
      <w:r>
        <w:rPr>
          <w:rFonts w:ascii="仿宋_GB2312" w:hAnsi="仿宋_GB2312" w:eastAsia="仿宋_GB2312" w:cs="仿宋_GB2312"/>
          <w:sz w:val="32"/>
          <w:szCs w:val="32"/>
        </w:rPr>
        <w:t>其他需说明的事项</w:t>
      </w:r>
    </w:p>
    <w:p w14:paraId="02F533C8">
      <w:pPr>
        <w:pStyle w:val="6"/>
        <w:tabs>
          <w:tab w:val="right" w:leader="dot" w:pos="8306"/>
        </w:tabs>
        <w:spacing w:line="600" w:lineRule="exact"/>
        <w:rPr>
          <w:rFonts w:hint="eastAsia" w:ascii="仿宋_GB2312" w:hAnsi="仿宋_GB2312" w:eastAsia="仿宋_GB2312" w:cs="仿宋_GB2312"/>
          <w:b/>
          <w:bCs/>
          <w:sz w:val="32"/>
          <w:szCs w:val="32"/>
        </w:rPr>
      </w:pPr>
      <w:r>
        <w:fldChar w:fldCharType="begin"/>
      </w:r>
      <w:r>
        <w:instrText xml:space="preserve"> HYPERLINK \l "_Toc30038" </w:instrText>
      </w:r>
      <w:r>
        <w:fldChar w:fldCharType="separate"/>
      </w:r>
      <w:r>
        <w:rPr>
          <w:rFonts w:hint="eastAsia" w:ascii="仿宋_GB2312" w:hAnsi="仿宋_GB2312" w:eastAsia="仿宋_GB2312" w:cs="仿宋_GB2312"/>
          <w:b/>
          <w:bCs/>
          <w:sz w:val="32"/>
          <w:szCs w:val="32"/>
        </w:rPr>
        <w:t>第三部分 专业名词解释</w:t>
      </w:r>
      <w:r>
        <w:rPr>
          <w:rFonts w:hint="eastAsia" w:ascii="仿宋_GB2312" w:hAnsi="仿宋_GB2312" w:eastAsia="仿宋_GB2312" w:cs="仿宋_GB2312"/>
          <w:b/>
          <w:bCs/>
          <w:sz w:val="32"/>
          <w:szCs w:val="32"/>
        </w:rPr>
        <w:fldChar w:fldCharType="end"/>
      </w:r>
    </w:p>
    <w:p w14:paraId="13D03994">
      <w:pPr>
        <w:pStyle w:val="6"/>
        <w:tabs>
          <w:tab w:val="right" w:leader="dot" w:pos="8306"/>
        </w:tabs>
        <w:spacing w:line="600" w:lineRule="exact"/>
        <w:rPr>
          <w:rFonts w:hint="eastAsia" w:ascii="仿宋_GB2312" w:hAnsi="仿宋_GB2312" w:eastAsia="仿宋_GB2312" w:cs="仿宋_GB2312"/>
          <w:b/>
          <w:bCs/>
          <w:sz w:val="32"/>
          <w:szCs w:val="32"/>
        </w:rPr>
      </w:pPr>
      <w:r>
        <w:fldChar w:fldCharType="begin"/>
      </w:r>
      <w:r>
        <w:instrText xml:space="preserve"> HYPERLINK \l "_Toc6831" </w:instrText>
      </w:r>
      <w:r>
        <w:fldChar w:fldCharType="separate"/>
      </w:r>
      <w:r>
        <w:rPr>
          <w:rFonts w:hint="eastAsia" w:ascii="仿宋_GB2312" w:hAnsi="仿宋_GB2312" w:eastAsia="仿宋_GB2312" w:cs="仿宋_GB2312"/>
          <w:b/>
          <w:bCs/>
          <w:sz w:val="32"/>
          <w:szCs w:val="32"/>
        </w:rPr>
        <w:t>第四部分 部门决算报表（见附表）</w:t>
      </w:r>
      <w:r>
        <w:rPr>
          <w:rFonts w:hint="eastAsia" w:ascii="仿宋_GB2312" w:hAnsi="仿宋_GB2312" w:eastAsia="仿宋_GB2312" w:cs="仿宋_GB2312"/>
          <w:b/>
          <w:bCs/>
          <w:sz w:val="32"/>
          <w:szCs w:val="32"/>
        </w:rPr>
        <w:fldChar w:fldCharType="end"/>
      </w:r>
    </w:p>
    <w:p w14:paraId="363DA5E8">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"_Toc3845" </w:instrText>
      </w:r>
      <w:r>
        <w:fldChar w:fldCharType="separate"/>
      </w:r>
      <w:r>
        <w:rPr>
          <w:rFonts w:hint="eastAsia" w:ascii="仿宋_GB2312" w:hAnsi="仿宋_GB2312" w:eastAsia="仿宋_GB2312" w:cs="仿宋_GB2312"/>
          <w:bCs/>
          <w:kern w:val="0"/>
          <w:sz w:val="32"/>
          <w:szCs w:val="32"/>
        </w:rPr>
        <w:t>一、《收入支出决算总表》</w:t>
      </w:r>
      <w:r>
        <w:rPr>
          <w:rFonts w:hint="eastAsia" w:ascii="仿宋_GB2312" w:hAnsi="仿宋_GB2312" w:eastAsia="仿宋_GB2312" w:cs="仿宋_GB2312"/>
          <w:bCs/>
          <w:kern w:val="0"/>
          <w:sz w:val="32"/>
          <w:szCs w:val="32"/>
        </w:rPr>
        <w:fldChar w:fldCharType="end"/>
      </w:r>
    </w:p>
    <w:p w14:paraId="7612762B">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"_Toc11927" </w:instrText>
      </w:r>
      <w:r>
        <w:fldChar w:fldCharType="separate"/>
      </w:r>
      <w:r>
        <w:rPr>
          <w:rFonts w:hint="eastAsia" w:ascii="仿宋_GB2312" w:hAnsi="仿宋_GB2312" w:eastAsia="仿宋_GB2312" w:cs="仿宋_GB2312"/>
          <w:bCs/>
          <w:kern w:val="0"/>
          <w:sz w:val="32"/>
          <w:szCs w:val="32"/>
        </w:rPr>
        <w:t>二、《收入决算表》</w:t>
      </w:r>
      <w:r>
        <w:rPr>
          <w:rFonts w:hint="eastAsia" w:ascii="仿宋_GB2312" w:hAnsi="仿宋_GB2312" w:eastAsia="仿宋_GB2312" w:cs="仿宋_GB2312"/>
          <w:bCs/>
          <w:kern w:val="0"/>
          <w:sz w:val="32"/>
          <w:szCs w:val="32"/>
        </w:rPr>
        <w:fldChar w:fldCharType="end"/>
      </w:r>
    </w:p>
    <w:p w14:paraId="3D4C3500">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"_Toc7443" </w:instrText>
      </w:r>
      <w:r>
        <w:fldChar w:fldCharType="separate"/>
      </w:r>
      <w:r>
        <w:rPr>
          <w:rFonts w:hint="eastAsia" w:ascii="仿宋_GB2312" w:hAnsi="仿宋_GB2312" w:eastAsia="仿宋_GB2312" w:cs="仿宋_GB2312"/>
          <w:bCs/>
          <w:kern w:val="0"/>
          <w:sz w:val="32"/>
          <w:szCs w:val="32"/>
        </w:rPr>
        <w:t>三、《支出决算表》</w:t>
      </w:r>
      <w:r>
        <w:rPr>
          <w:rFonts w:hint="eastAsia" w:ascii="仿宋_GB2312" w:hAnsi="仿宋_GB2312" w:eastAsia="仿宋_GB2312" w:cs="仿宋_GB2312"/>
          <w:bCs/>
          <w:kern w:val="0"/>
          <w:sz w:val="32"/>
          <w:szCs w:val="32"/>
        </w:rPr>
        <w:fldChar w:fldCharType="end"/>
      </w:r>
    </w:p>
    <w:p w14:paraId="2F9A11B3">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"_Toc24884" </w:instrText>
      </w:r>
      <w:r>
        <w:fldChar w:fldCharType="separate"/>
      </w:r>
      <w:r>
        <w:rPr>
          <w:rFonts w:hint="eastAsia" w:ascii="仿宋_GB2312" w:hAnsi="仿宋_GB2312" w:eastAsia="仿宋_GB2312" w:cs="仿宋_GB2312"/>
          <w:bCs/>
          <w:kern w:val="0"/>
          <w:sz w:val="32"/>
          <w:szCs w:val="32"/>
        </w:rPr>
        <w:t>四、《财政拨款收入支出决算总表》</w:t>
      </w:r>
      <w:r>
        <w:rPr>
          <w:rFonts w:hint="eastAsia" w:ascii="仿宋_GB2312" w:hAnsi="仿宋_GB2312" w:eastAsia="仿宋_GB2312" w:cs="仿宋_GB2312"/>
          <w:bCs/>
          <w:kern w:val="0"/>
          <w:sz w:val="32"/>
          <w:szCs w:val="32"/>
        </w:rPr>
        <w:fldChar w:fldCharType="end"/>
      </w:r>
    </w:p>
    <w:p w14:paraId="44A5CB8E">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"_Toc16518" </w:instrText>
      </w:r>
      <w:r>
        <w:fldChar w:fldCharType="separate"/>
      </w:r>
      <w:r>
        <w:rPr>
          <w:rFonts w:hint="eastAsia" w:ascii="仿宋_GB2312" w:hAnsi="仿宋_GB2312" w:eastAsia="仿宋_GB2312" w:cs="仿宋_GB2312"/>
          <w:bCs/>
          <w:kern w:val="0"/>
          <w:sz w:val="32"/>
          <w:szCs w:val="32"/>
        </w:rPr>
        <w:t>五、《一般公共预算财政拨款支出决算表》</w:t>
      </w:r>
      <w:r>
        <w:rPr>
          <w:rFonts w:hint="eastAsia" w:ascii="仿宋_GB2312" w:hAnsi="仿宋_GB2312" w:eastAsia="仿宋_GB2312" w:cs="仿宋_GB2312"/>
          <w:bCs/>
          <w:kern w:val="0"/>
          <w:sz w:val="32"/>
          <w:szCs w:val="32"/>
        </w:rPr>
        <w:fldChar w:fldCharType="end"/>
      </w:r>
    </w:p>
    <w:p w14:paraId="277EE406">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"_Toc20514" </w:instrText>
      </w:r>
      <w:r>
        <w:fldChar w:fldCharType="separate"/>
      </w:r>
      <w:r>
        <w:rPr>
          <w:rFonts w:hint="eastAsia" w:ascii="仿宋_GB2312" w:hAnsi="仿宋_GB2312" w:eastAsia="仿宋_GB2312" w:cs="仿宋_GB2312"/>
          <w:bCs/>
          <w:kern w:val="0"/>
          <w:sz w:val="32"/>
          <w:szCs w:val="32"/>
        </w:rPr>
        <w:t>六、《一般公共预算财政拨款基本支出决算表》</w:t>
      </w:r>
      <w:r>
        <w:rPr>
          <w:rFonts w:hint="eastAsia" w:ascii="仿宋_GB2312" w:hAnsi="仿宋_GB2312" w:eastAsia="仿宋_GB2312" w:cs="仿宋_GB2312"/>
          <w:bCs/>
          <w:kern w:val="0"/>
          <w:sz w:val="32"/>
          <w:szCs w:val="32"/>
        </w:rPr>
        <w:fldChar w:fldCharType="end"/>
      </w:r>
    </w:p>
    <w:p w14:paraId="49FE8110">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"_Toc18055" </w:instrText>
      </w:r>
      <w:r>
        <w:fldChar w:fldCharType="separate"/>
      </w:r>
      <w:r>
        <w:rPr>
          <w:rFonts w:hint="eastAsia" w:ascii="仿宋_GB2312" w:hAnsi="仿宋_GB2312" w:eastAsia="仿宋_GB2312" w:cs="仿宋_GB2312"/>
          <w:bCs/>
          <w:kern w:val="0"/>
          <w:sz w:val="32"/>
          <w:szCs w:val="32"/>
        </w:rPr>
        <w:t>七、《政府性基金预算财政拨款收入支出决算表》</w:t>
      </w:r>
      <w:r>
        <w:rPr>
          <w:rFonts w:hint="eastAsia" w:ascii="仿宋_GB2312" w:hAnsi="仿宋_GB2312" w:eastAsia="仿宋_GB2312" w:cs="仿宋_GB2312"/>
          <w:bCs/>
          <w:kern w:val="0"/>
          <w:sz w:val="32"/>
          <w:szCs w:val="32"/>
        </w:rPr>
        <w:fldChar w:fldCharType="end"/>
      </w:r>
    </w:p>
    <w:p w14:paraId="43AA1635">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"_Toc10719" </w:instrText>
      </w:r>
      <w:r>
        <w:fldChar w:fldCharType="separate"/>
      </w:r>
      <w:r>
        <w:rPr>
          <w:rFonts w:hint="eastAsia" w:ascii="仿宋_GB2312" w:hAnsi="仿宋_GB2312" w:eastAsia="仿宋_GB2312" w:cs="仿宋_GB2312"/>
          <w:bCs/>
          <w:kern w:val="0"/>
          <w:sz w:val="32"/>
          <w:szCs w:val="32"/>
        </w:rPr>
        <w:t>八、《国有资本经营预算财政拨款收入支出决算表》</w:t>
      </w:r>
      <w:r>
        <w:rPr>
          <w:rFonts w:hint="eastAsia" w:ascii="仿宋_GB2312" w:hAnsi="仿宋_GB2312" w:eastAsia="仿宋_GB2312" w:cs="仿宋_GB2312"/>
          <w:bCs/>
          <w:kern w:val="0"/>
          <w:sz w:val="32"/>
          <w:szCs w:val="32"/>
        </w:rPr>
        <w:fldChar w:fldCharType="end"/>
      </w:r>
    </w:p>
    <w:p w14:paraId="5D4DF260">
      <w:pPr>
        <w:pStyle w:val="7"/>
        <w:tabs>
          <w:tab w:val="right" w:leader="dot" w:pos="8306"/>
        </w:tabs>
        <w:spacing w:line="600" w:lineRule="exact"/>
        <w:ind w:left="0" w:leftChars="0"/>
        <w:rPr>
          <w:rFonts w:hint="eastAsia" w:ascii="黑体" w:hAnsi="黑体" w:eastAsia="黑体" w:cs="宋体"/>
          <w:bCs/>
          <w:kern w:val="0"/>
          <w:sz w:val="32"/>
          <w:szCs w:val="32"/>
        </w:rPr>
      </w:pPr>
      <w:r>
        <w:fldChar w:fldCharType="begin"/>
      </w:r>
      <w:r>
        <w:instrText xml:space="preserve"> HYPERLINK \l "_Toc18861" </w:instrText>
      </w:r>
      <w:r>
        <w:fldChar w:fldCharType="separate"/>
      </w:r>
      <w:r>
        <w:rPr>
          <w:rFonts w:hint="eastAsia" w:ascii="仿宋_GB2312" w:hAnsi="仿宋_GB2312" w:eastAsia="仿宋_GB2312" w:cs="仿宋_GB2312"/>
          <w:bCs/>
          <w:kern w:val="0"/>
          <w:sz w:val="32"/>
          <w:szCs w:val="32"/>
        </w:rPr>
        <w:t>九、《财政拨款“三公”经费支出决算表》</w:t>
      </w:r>
      <w:r>
        <w:rPr>
          <w:rFonts w:hint="eastAsia" w:ascii="仿宋_GB2312" w:hAnsi="仿宋_GB2312" w:eastAsia="仿宋_GB2312" w:cs="仿宋_GB2312"/>
          <w:bCs/>
          <w:kern w:val="0"/>
          <w:sz w:val="32"/>
          <w:szCs w:val="32"/>
        </w:rPr>
        <w:fldChar w:fldCharType="end"/>
      </w:r>
      <w:r>
        <w:rPr>
          <w:rFonts w:hint="eastAsia" w:ascii="仿宋_GB2312" w:hAnsi="仿宋_GB2312" w:eastAsia="仿宋_GB2312" w:cs="仿宋_GB2312"/>
          <w:sz w:val="32"/>
          <w:szCs w:val="32"/>
        </w:rPr>
        <w:fldChar w:fldCharType="end"/>
      </w:r>
    </w:p>
    <w:p>
      <w:r>
        <w:br w:type="page"/>
      </w:r>
    </w:p>
    <w:p>
      <w:pPr>
        <w:spacing w:line="640" w:lineRule="exact"/>
        <w:jc w:val="center"/>
        <w:outlineLvl w:val="1"/>
      </w:pPr>
      <w:r>
        <w:rPr>
          <w:rFonts w:ascii="黑体" w:hAnsi="黑体" w:eastAsia="黑体"/>
          <w:sz w:val="32"/>
        </w:rPr>
        <w:t>第一部分 单位概况</w:t>
      </w:r>
    </w:p>
    <w:p>
      <w:pPr>
        <w:spacing w:line="640" w:lineRule="exact"/>
        <w:ind w:firstLine="640"/>
        <w:jc w:val="both"/>
        <w:outlineLvl w:val="2"/>
      </w:pPr>
      <w:r>
        <w:rPr>
          <w:rFonts w:ascii="黑体" w:hAnsi="黑体" w:eastAsia="黑体"/>
          <w:sz w:val="32"/>
        </w:rPr>
        <w:t>一、主要职能</w:t>
      </w:r>
    </w:p>
    <w:p>
      <w:pPr>
        <w:spacing w:line="580" w:lineRule="exact"/>
        <w:ind w:firstLine="640"/>
        <w:jc w:val="both"/>
      </w:pPr>
      <w:r>
        <w:rPr>
          <w:rFonts w:ascii="仿宋_GB2312" w:hAnsi="仿宋_GB2312" w:eastAsia="仿宋_GB2312"/>
          <w:sz w:val="32"/>
        </w:rPr>
        <w:t>1.贯彻执行党和国家、自治区关于动物防疫、畜牧等工作的方针政策、法律法规。</w:t>
      </w:r>
    </w:p>
    <w:p>
      <w:pPr>
        <w:spacing w:line="580" w:lineRule="exact"/>
        <w:ind w:firstLine="640"/>
        <w:jc w:val="both"/>
      </w:pPr>
      <w:r>
        <w:rPr>
          <w:rFonts w:ascii="仿宋_GB2312" w:hAnsi="仿宋_GB2312" w:eastAsia="仿宋_GB2312"/>
          <w:sz w:val="32"/>
        </w:rPr>
        <w:t>2.协助制定并组织实施自治州重大动物疫病、人兽共患病和水生动物疫病的免疫、监测、诊断、流行病学调查等工作方案；指导重大动物疫病和水生动物疫病的预防、控制、净化和消灭工作；承担动物（含水生动物）疫病预警预报工作。</w:t>
      </w:r>
    </w:p>
    <w:p>
      <w:pPr>
        <w:spacing w:line="580" w:lineRule="exact"/>
        <w:ind w:firstLine="640"/>
        <w:jc w:val="both"/>
      </w:pPr>
      <w:r>
        <w:rPr>
          <w:rFonts w:ascii="仿宋_GB2312" w:hAnsi="仿宋_GB2312" w:eastAsia="仿宋_GB2312"/>
          <w:sz w:val="32"/>
        </w:rPr>
        <w:t>3.承担自治州动物防疫应急物资储备、动物疫苗的组织供应等工作。</w:t>
      </w:r>
    </w:p>
    <w:p>
      <w:pPr>
        <w:spacing w:line="580" w:lineRule="exact"/>
        <w:ind w:firstLine="640"/>
        <w:jc w:val="both"/>
      </w:pPr>
      <w:r>
        <w:rPr>
          <w:rFonts w:ascii="仿宋_GB2312" w:hAnsi="仿宋_GB2312" w:eastAsia="仿宋_GB2312"/>
          <w:sz w:val="32"/>
        </w:rPr>
        <w:t>4.承担自治州良种畜禽的引进、繁育和推广工作；承担畜禽和水产等新品种选育、试验示范推广和新技术推广应用工作。</w:t>
      </w:r>
    </w:p>
    <w:p>
      <w:pPr>
        <w:spacing w:line="580" w:lineRule="exact"/>
        <w:ind w:firstLine="640"/>
        <w:jc w:val="both"/>
      </w:pPr>
      <w:r>
        <w:rPr>
          <w:rFonts w:ascii="仿宋_GB2312" w:hAnsi="仿宋_GB2312" w:eastAsia="仿宋_GB2312"/>
          <w:sz w:val="32"/>
        </w:rPr>
        <w:t>5.承担自治州畜禽遗传资源的保护与开发利用工作，承担畜禽遗传资源保种场（保护区）监管的技术辅助工作；参与制定种畜禽品种标准、饲养管理技术规范。</w:t>
      </w:r>
    </w:p>
    <w:p>
      <w:pPr>
        <w:spacing w:line="580" w:lineRule="exact"/>
        <w:ind w:firstLine="640"/>
        <w:jc w:val="both"/>
      </w:pPr>
      <w:r>
        <w:rPr>
          <w:rFonts w:ascii="仿宋_GB2312" w:hAnsi="仿宋_GB2312" w:eastAsia="仿宋_GB2312"/>
          <w:sz w:val="32"/>
        </w:rPr>
        <w:t>6.承担自治州畜牧兽医技术推广服务工作；开展畜牧兽医技术人员继续教育、畜禽养殖、畜禽粪污无害化处理和资源化利用技术培训；研究制定自治州畜牧业生产标准并指导实施。</w:t>
      </w:r>
    </w:p>
    <w:p>
      <w:pPr>
        <w:spacing w:line="580" w:lineRule="exact"/>
        <w:ind w:firstLine="640"/>
        <w:jc w:val="both"/>
      </w:pPr>
      <w:r>
        <w:rPr>
          <w:rFonts w:ascii="仿宋_GB2312" w:hAnsi="仿宋_GB2312" w:eastAsia="仿宋_GB2312"/>
          <w:sz w:val="32"/>
        </w:rPr>
        <w:t>7.开展自治州兽医实验室生物安全工作业务指导和技术培训。</w:t>
      </w:r>
    </w:p>
    <w:p>
      <w:pPr>
        <w:spacing w:line="580" w:lineRule="exact"/>
        <w:ind w:firstLine="640"/>
        <w:jc w:val="both"/>
      </w:pPr>
      <w:r>
        <w:rPr>
          <w:rFonts w:ascii="仿宋_GB2312" w:hAnsi="仿宋_GB2312" w:eastAsia="仿宋_GB2312"/>
          <w:sz w:val="32"/>
        </w:rPr>
        <w:t>8.承担国家和自治区下达的牲畜监测点统计监测工作；指导县市开展监测点数据上报审核工作。</w:t>
      </w:r>
    </w:p>
    <w:p>
      <w:pPr>
        <w:spacing w:line="580" w:lineRule="exact"/>
        <w:ind w:firstLine="640"/>
        <w:jc w:val="both"/>
      </w:pPr>
      <w:r>
        <w:rPr>
          <w:rFonts w:ascii="仿宋_GB2312" w:hAnsi="仿宋_GB2312" w:eastAsia="仿宋_GB2312"/>
          <w:sz w:val="32"/>
        </w:rPr>
        <w:t>9.完成自治州农业农村局交办的其他任务。</w:t>
      </w:r>
    </w:p>
    <w:p>
      <w:pPr>
        <w:spacing w:line="640" w:lineRule="exact"/>
        <w:ind w:firstLine="640"/>
        <w:jc w:val="both"/>
        <w:outlineLvl w:val="2"/>
      </w:pPr>
      <w:r>
        <w:rPr>
          <w:rFonts w:ascii="黑体" w:hAnsi="黑体" w:eastAsia="黑体"/>
          <w:sz w:val="32"/>
        </w:rPr>
        <w:t>二、机构设置</w:t>
      </w:r>
    </w:p>
    <w:p>
      <w:pPr>
        <w:spacing w:line="580" w:lineRule="exact"/>
        <w:ind w:firstLine="640"/>
        <w:jc w:val="both"/>
      </w:pPr>
      <w:r>
        <w:rPr>
          <w:rFonts w:ascii="仿宋_GB2312" w:hAnsi="仿宋_GB2312" w:eastAsia="仿宋_GB2312"/>
          <w:sz w:val="32"/>
        </w:rPr>
        <w:t>昌吉回族自治州动物疾病预防控制中心无下属预算单位。</w:t>
      </w:r>
    </w:p>
    <w:p>
      <w:r>
        <w:br w:type="page"/>
      </w:r>
    </w:p>
    <w:p>
      <w:pPr>
        <w:spacing w:line="240" w:lineRule="auto"/>
        <w:jc w:val="center"/>
        <w:outlineLvl w:val="1"/>
      </w:pPr>
      <w:r>
        <w:rPr>
          <w:rFonts w:ascii="黑体" w:hAnsi="黑体" w:eastAsia="黑体"/>
          <w:sz w:val="32"/>
        </w:rPr>
        <w:t>第二部分 部门决算情况说明</w:t>
      </w:r>
    </w:p>
    <w:p>
      <w:pPr>
        <w:spacing w:line="640" w:lineRule="exact"/>
        <w:ind w:firstLine="640"/>
        <w:jc w:val="both"/>
        <w:outlineLvl w:val="2"/>
      </w:pPr>
      <w:r>
        <w:rPr>
          <w:rFonts w:ascii="黑体" w:hAnsi="黑体" w:eastAsia="黑体"/>
          <w:sz w:val="32"/>
        </w:rPr>
        <w:t>一、收入支出决算总体情况说明</w:t>
      </w:r>
    </w:p>
    <w:p>
      <w:pPr>
        <w:spacing w:line="580" w:lineRule="exact"/>
        <w:ind w:firstLine="640"/>
        <w:jc w:val="both"/>
      </w:pPr>
      <w:r>
        <w:rPr>
          <w:rFonts w:ascii="仿宋_GB2312" w:hAnsi="仿宋_GB2312" w:eastAsia="仿宋_GB2312"/>
          <w:b/>
          <w:sz w:val="32"/>
        </w:rPr>
        <w:t>2025年度收入总计2,363.83万元，</w:t>
      </w:r>
      <w:r>
        <w:rPr>
          <w:rFonts w:ascii="仿宋_GB2312" w:hAnsi="仿宋_GB2312" w:eastAsia="仿宋_GB2312"/>
          <w:b w:val="0"/>
          <w:sz w:val="32"/>
        </w:rPr>
        <w:t>其中：本年收入合计2,336.71万元，使用非财政拨款结余（含专用结余）0.00万元，年初结转和结余27.12万元。</w:t>
      </w:r>
    </w:p>
    <w:p>
      <w:pPr>
        <w:spacing w:line="580" w:lineRule="exact"/>
        <w:ind w:firstLine="640"/>
        <w:jc w:val="both"/>
      </w:pPr>
      <w:r>
        <w:rPr>
          <w:rFonts w:ascii="仿宋_GB2312" w:hAnsi="仿宋_GB2312" w:eastAsia="仿宋_GB2312"/>
          <w:b/>
          <w:sz w:val="32"/>
        </w:rPr>
        <w:t>2025年度支出总计2,363.83万元，</w:t>
      </w:r>
      <w:r>
        <w:rPr>
          <w:rFonts w:ascii="仿宋_GB2312" w:hAnsi="仿宋_GB2312" w:eastAsia="仿宋_GB2312"/>
          <w:b w:val="0"/>
          <w:sz w:val="32"/>
        </w:rPr>
        <w:t>其中：本年支出合计2,327.67万元，结余分配0.00万元，年末结转和结余36.16万元。</w:t>
      </w:r>
    </w:p>
    <w:p>
      <w:pPr>
        <w:spacing w:line="580" w:lineRule="exact"/>
        <w:ind w:firstLine="640"/>
        <w:jc w:val="both"/>
      </w:pPr>
      <w:r>
        <w:rPr>
          <w:rFonts w:ascii="仿宋_GB2312" w:hAnsi="仿宋_GB2312" w:eastAsia="仿宋_GB2312"/>
          <w:b/>
          <w:sz w:val="32"/>
        </w:rPr>
        <w:t>收入支出总体与上年相比，</w:t>
      </w:r>
      <w:r>
        <w:rPr>
          <w:rFonts w:ascii="仿宋_GB2312" w:hAnsi="仿宋_GB2312" w:eastAsia="仿宋_GB2312"/>
          <w:b w:val="0"/>
          <w:sz w:val="32"/>
        </w:rPr>
        <w:t>减少893.86万元，下降27.44%，主要原因是：本年进口牛冻精推广使用项目、肉牛冻精补助项目、动物防疫补助资金减少，中央农业防灾减灾和水利救灾资金（动物防疫补助）较上年减少，导致经费支出减少。</w:t>
      </w:r>
    </w:p>
    <w:p>
      <w:pPr>
        <w:spacing w:line="640" w:lineRule="exact"/>
        <w:ind w:firstLine="640"/>
        <w:jc w:val="both"/>
        <w:outlineLvl w:val="2"/>
      </w:pPr>
      <w:r>
        <w:rPr>
          <w:rFonts w:ascii="黑体" w:hAnsi="黑体" w:eastAsia="黑体"/>
          <w:sz w:val="32"/>
        </w:rPr>
        <w:t>二、收入决算情况说明</w:t>
      </w:r>
    </w:p>
    <w:p>
      <w:pPr>
        <w:spacing w:line="580" w:lineRule="exact"/>
        <w:ind w:firstLine="640"/>
        <w:jc w:val="both"/>
      </w:pPr>
      <w:r>
        <w:rPr>
          <w:rFonts w:ascii="仿宋_GB2312" w:hAnsi="仿宋_GB2312" w:eastAsia="仿宋_GB2312"/>
          <w:b/>
          <w:sz w:val="32"/>
        </w:rPr>
        <w:t>本年收入2,336.71万元，</w:t>
      </w:r>
      <w:r>
        <w:rPr>
          <w:rFonts w:ascii="仿宋_GB2312" w:hAnsi="仿宋_GB2312" w:eastAsia="仿宋_GB2312"/>
          <w:b w:val="0"/>
          <w:sz w:val="32"/>
        </w:rPr>
        <w:t>其中：财政拨款收入2,327.67万元，占99.61%；上级补助收入0.00万元，占0.00%；事业收入0.00万元，占0.00%；经营收入0.00万元，占0.00%；附属单位上缴收入0.00万元，占0.00%；其他收入9.04万元，占0.39%。</w:t>
      </w:r>
    </w:p>
    <w:p>
      <w:pPr>
        <w:spacing w:line="640" w:lineRule="exact"/>
        <w:ind w:firstLine="640"/>
        <w:jc w:val="both"/>
        <w:outlineLvl w:val="2"/>
      </w:pPr>
      <w:r>
        <w:rPr>
          <w:rFonts w:ascii="黑体" w:hAnsi="黑体" w:eastAsia="黑体"/>
          <w:sz w:val="32"/>
        </w:rPr>
        <w:t>三、支出决算情况说明</w:t>
      </w:r>
    </w:p>
    <w:p>
      <w:pPr>
        <w:spacing w:line="580" w:lineRule="exact"/>
        <w:ind w:firstLine="640"/>
        <w:jc w:val="both"/>
      </w:pPr>
      <w:r>
        <w:rPr>
          <w:rFonts w:ascii="仿宋_GB2312" w:hAnsi="仿宋_GB2312" w:eastAsia="仿宋_GB2312"/>
          <w:b/>
          <w:sz w:val="32"/>
        </w:rPr>
        <w:t>本年支出2,327.67万元，</w:t>
      </w:r>
      <w:r>
        <w:rPr>
          <w:rFonts w:ascii="仿宋_GB2312" w:hAnsi="仿宋_GB2312" w:eastAsia="仿宋_GB2312"/>
          <w:b w:val="0"/>
          <w:sz w:val="32"/>
        </w:rPr>
        <w:t>其中：基本支出808.27万元，占34.72%；项目支出1,519.40万元，占65.28%；上缴上级支出0.00万元，占0.00%；经营支出0.00万元，占0.00%；对附属单位补助支出0.00万元，占0.00%。</w:t>
      </w:r>
    </w:p>
    <w:p>
      <w:pPr>
        <w:spacing w:line="640" w:lineRule="exact"/>
        <w:ind w:firstLine="640"/>
        <w:jc w:val="both"/>
        <w:outlineLvl w:val="2"/>
      </w:pPr>
      <w:r>
        <w:rPr>
          <w:rFonts w:ascii="黑体" w:hAnsi="黑体" w:eastAsia="黑体"/>
          <w:sz w:val="32"/>
        </w:rPr>
        <w:t>四、财政拨款收入支出决算总体情况说明</w:t>
      </w:r>
    </w:p>
    <w:p>
      <w:pPr>
        <w:spacing w:line="580" w:lineRule="exact"/>
        <w:ind w:firstLine="640"/>
        <w:jc w:val="both"/>
      </w:pPr>
      <w:r>
        <w:rPr>
          <w:rFonts w:ascii="仿宋_GB2312" w:hAnsi="仿宋_GB2312" w:eastAsia="仿宋_GB2312"/>
          <w:b/>
          <w:sz w:val="32"/>
        </w:rPr>
        <w:t>2025年度财政拨款收入总计2,327.67万元，</w:t>
      </w:r>
      <w:r>
        <w:rPr>
          <w:rFonts w:ascii="仿宋_GB2312" w:hAnsi="仿宋_GB2312" w:eastAsia="仿宋_GB2312"/>
          <w:b w:val="0"/>
          <w:sz w:val="32"/>
        </w:rPr>
        <w:t>其中：年初财政拨款结转和结余0.00万元，本年财政拨款收入2,327.67万元。</w:t>
      </w:r>
      <w:r>
        <w:rPr>
          <w:rFonts w:ascii="仿宋_GB2312" w:hAnsi="仿宋_GB2312" w:eastAsia="仿宋_GB2312"/>
          <w:b/>
          <w:sz w:val="32"/>
        </w:rPr>
        <w:t>财政拨款支出总计2,327.67万元，</w:t>
      </w:r>
      <w:r>
        <w:rPr>
          <w:rFonts w:ascii="仿宋_GB2312" w:hAnsi="仿宋_GB2312" w:eastAsia="仿宋_GB2312"/>
          <w:b w:val="0"/>
          <w:sz w:val="32"/>
        </w:rPr>
        <w:t>其中：年末财政拨款结转和结余0.00万元，本年财政拨款支出2,327.67万元。</w:t>
      </w:r>
    </w:p>
    <w:p>
      <w:pPr>
        <w:spacing w:line="580" w:lineRule="exact"/>
        <w:ind w:firstLine="640"/>
        <w:jc w:val="both"/>
      </w:pPr>
      <w:r>
        <w:rPr>
          <w:rFonts w:ascii="仿宋_GB2312" w:hAnsi="仿宋_GB2312" w:eastAsia="仿宋_GB2312"/>
          <w:b/>
          <w:sz w:val="32"/>
        </w:rPr>
        <w:t>财政拨款收入支出总体与上年相比，</w:t>
      </w:r>
      <w:r>
        <w:rPr>
          <w:rFonts w:ascii="仿宋_GB2312" w:hAnsi="仿宋_GB2312" w:eastAsia="仿宋_GB2312"/>
          <w:b w:val="0"/>
          <w:sz w:val="32"/>
        </w:rPr>
        <w:t>减少872.91万元，下降27.27%，主要原因是：本年进口牛冻精推广使用项目、肉牛冻精补助项目、动物防疫补助资金减少，中央农业防灾减灾和水利救灾资金（动物防疫补助）较上年减少，导致经费支出减少。</w:t>
      </w:r>
      <w:r>
        <w:rPr>
          <w:rFonts w:ascii="仿宋_GB2312" w:hAnsi="仿宋_GB2312" w:eastAsia="仿宋_GB2312"/>
          <w:b/>
          <w:sz w:val="32"/>
        </w:rPr>
        <w:t>与年初预算相比，</w:t>
      </w:r>
      <w:r>
        <w:rPr>
          <w:rFonts w:ascii="仿宋_GB2312" w:hAnsi="仿宋_GB2312" w:eastAsia="仿宋_GB2312"/>
          <w:b w:val="0"/>
          <w:sz w:val="32"/>
        </w:rPr>
        <w:t>年初预算数2,100.23万元，决算数2,327.67万元，预决算差异率10.83%，主要原因是：一是年中追加天山英才培训计划项目，导致预决算存在差异本年在职人员增加，二是年中追加人员经费及人员工资、社保、公积金基数调增部分资金，导致预决算存在差异。</w:t>
      </w:r>
    </w:p>
    <w:p>
      <w:pPr>
        <w:spacing w:line="640" w:lineRule="exact"/>
        <w:ind w:firstLine="640"/>
        <w:jc w:val="both"/>
        <w:outlineLvl w:val="2"/>
      </w:pPr>
      <w:r>
        <w:rPr>
          <w:rFonts w:ascii="黑体" w:hAnsi="黑体" w:eastAsia="黑体"/>
          <w:sz w:val="32"/>
        </w:rPr>
        <w:t>五、一般公共预算财政拨款支出决算情况说明</w:t>
      </w:r>
    </w:p>
    <w:p>
      <w:pPr>
        <w:spacing w:line="580" w:lineRule="exact"/>
        <w:ind w:firstLine="640"/>
        <w:jc w:val="both"/>
      </w:pPr>
      <w:r>
        <w:rPr>
          <w:rFonts w:ascii="仿宋_GB2312" w:hAnsi="仿宋_GB2312" w:eastAsia="仿宋_GB2312"/>
          <w:b w:val="0"/>
          <w:sz w:val="32"/>
        </w:rPr>
        <w:t>按照党中央、国务院关于党政机关习惯过紧日子的有关要求，厉行节约办一切事业，严控一般性支出。同时坚持有保有压，优化支出结构，提高资金使用效率，合理保障病虫害控制、保障重大动物疫病防控强制免疫工作、机构有效运转等重点支出，体现在有关支出科目中。</w:t>
      </w:r>
    </w:p>
    <w:p>
      <w:pPr>
        <w:spacing w:line="580" w:lineRule="exact"/>
        <w:ind w:firstLine="640"/>
        <w:jc w:val="both"/>
      </w:pPr>
      <w:r>
        <w:rPr>
          <w:rFonts w:ascii="仿宋_GB2312" w:hAnsi="仿宋_GB2312" w:eastAsia="仿宋_GB2312"/>
          <w:b w:val="0"/>
          <w:sz w:val="32"/>
        </w:rPr>
        <w:t>按照支出功能分类，农林水支出（类）农业农村（款）病虫害控制（项）的支出占本年财政拨款支出总额的比重最高，2025年度决算数为1,033.10万元，占比44.38%，主要用于重大动物疫病强制免疫苗采购、先打后补助资金发放。</w:t>
      </w:r>
    </w:p>
    <w:p>
      <w:pPr>
        <w:spacing w:line="640" w:lineRule="exact"/>
        <w:ind w:firstLine="640"/>
        <w:jc w:val="both"/>
        <w:outlineLvl w:val="3"/>
      </w:pPr>
      <w:r>
        <w:rPr>
          <w:rFonts w:ascii="楷体_GB2312" w:hAnsi="楷体_GB2312" w:eastAsia="楷体_GB2312"/>
          <w:b/>
          <w:sz w:val="32"/>
        </w:rPr>
        <w:t>（一）一般公共预算财政拨款支出决算总体情况</w:t>
      </w:r>
    </w:p>
    <w:p>
      <w:pPr>
        <w:spacing w:line="580" w:lineRule="exact"/>
        <w:ind w:firstLine="640"/>
        <w:jc w:val="both"/>
      </w:pPr>
      <w:r>
        <w:rPr>
          <w:rFonts w:ascii="仿宋_GB2312" w:hAnsi="仿宋_GB2312" w:eastAsia="仿宋_GB2312"/>
          <w:b/>
          <w:sz w:val="32"/>
        </w:rPr>
        <w:t>2025年度一般公共预算财政拨款支出2,327.67万元，</w:t>
      </w:r>
      <w:r>
        <w:rPr>
          <w:rFonts w:ascii="仿宋_GB2312" w:hAnsi="仿宋_GB2312" w:eastAsia="仿宋_GB2312"/>
          <w:b w:val="0"/>
          <w:sz w:val="32"/>
        </w:rPr>
        <w:t>占本年支出合计的100.00%。</w:t>
      </w:r>
      <w:r>
        <w:rPr>
          <w:rFonts w:ascii="仿宋_GB2312" w:hAnsi="仿宋_GB2312" w:eastAsia="仿宋_GB2312"/>
          <w:b/>
          <w:sz w:val="32"/>
        </w:rPr>
        <w:t>与上年相比，</w:t>
      </w:r>
      <w:r>
        <w:rPr>
          <w:rFonts w:ascii="仿宋_GB2312" w:hAnsi="仿宋_GB2312" w:eastAsia="仿宋_GB2312"/>
          <w:b w:val="0"/>
          <w:sz w:val="32"/>
        </w:rPr>
        <w:t>减少851.29万元，下降26.78%，主要原因是：本年进口牛冻精推广使用项目、肉牛冻精补助项目、动物防疫补助资金减少，中央农业防灾减灾和水利救灾资金（动物防疫补助）较上年减少，导致经费支出减少。</w:t>
      </w:r>
      <w:r>
        <w:rPr>
          <w:rFonts w:ascii="仿宋_GB2312" w:hAnsi="仿宋_GB2312" w:eastAsia="仿宋_GB2312"/>
          <w:b/>
          <w:sz w:val="32"/>
        </w:rPr>
        <w:t>与年初预算相比，</w:t>
      </w:r>
      <w:r>
        <w:rPr>
          <w:rFonts w:ascii="仿宋_GB2312" w:hAnsi="仿宋_GB2312" w:eastAsia="仿宋_GB2312"/>
          <w:b w:val="0"/>
          <w:sz w:val="32"/>
        </w:rPr>
        <w:t>年初预算数2,100.23万元，决算数2,327.67万元，预决算差异率10.83%，主要原因是：一是年中追加天山英才培训计划项目，导致预决算存在差异。二是年中追加人员经费及人员工资、社保、公积金基数调增部分资金，导致预决算存在差异。</w:t>
      </w:r>
    </w:p>
    <w:p>
      <w:pPr>
        <w:spacing w:line="640" w:lineRule="exact"/>
        <w:ind w:firstLine="640"/>
        <w:jc w:val="both"/>
        <w:outlineLvl w:val="3"/>
      </w:pPr>
      <w:r>
        <w:rPr>
          <w:rFonts w:ascii="楷体_GB2312" w:hAnsi="楷体_GB2312" w:eastAsia="楷体_GB2312"/>
          <w:b/>
          <w:sz w:val="32"/>
        </w:rPr>
        <w:t>（二）一般公共预算财政拨款支出决算结构情况</w:t>
      </w:r>
    </w:p>
    <w:p>
      <w:pPr>
        <w:spacing w:line="580" w:lineRule="exact"/>
        <w:ind w:firstLine="640"/>
        <w:jc w:val="both"/>
      </w:pPr>
      <w:r>
        <w:rPr>
          <w:rFonts w:ascii="仿宋_GB2312" w:hAnsi="仿宋_GB2312" w:eastAsia="仿宋_GB2312"/>
          <w:b w:val="0"/>
          <w:sz w:val="32"/>
        </w:rPr>
        <w:t>1.科学技术支出（类）43.52万元，占1.87%。</w:t>
      </w:r>
    </w:p>
    <w:p>
      <w:pPr>
        <w:spacing w:line="580" w:lineRule="exact"/>
        <w:ind w:firstLine="640"/>
        <w:jc w:val="both"/>
      </w:pPr>
      <w:r>
        <w:rPr>
          <w:rFonts w:ascii="仿宋_GB2312" w:hAnsi="仿宋_GB2312" w:eastAsia="仿宋_GB2312"/>
          <w:b w:val="0"/>
          <w:sz w:val="32"/>
        </w:rPr>
        <w:t>2.社会保障和就业支出（类）137.47万元，占5.91%。</w:t>
      </w:r>
    </w:p>
    <w:p>
      <w:pPr>
        <w:spacing w:line="580" w:lineRule="exact"/>
        <w:ind w:firstLine="640"/>
        <w:jc w:val="both"/>
      </w:pPr>
      <w:r>
        <w:rPr>
          <w:rFonts w:ascii="仿宋_GB2312" w:hAnsi="仿宋_GB2312" w:eastAsia="仿宋_GB2312"/>
          <w:b w:val="0"/>
          <w:sz w:val="32"/>
        </w:rPr>
        <w:t>3.卫生健康支出（类）51.91万元，占2.23%。</w:t>
      </w:r>
    </w:p>
    <w:p>
      <w:pPr>
        <w:spacing w:line="580" w:lineRule="exact"/>
        <w:ind w:firstLine="640"/>
        <w:jc w:val="both"/>
      </w:pPr>
      <w:r>
        <w:rPr>
          <w:rFonts w:ascii="仿宋_GB2312" w:hAnsi="仿宋_GB2312" w:eastAsia="仿宋_GB2312"/>
          <w:b w:val="0"/>
          <w:sz w:val="32"/>
        </w:rPr>
        <w:t>4.农林水支出（类）2,027.31万元，占87.10%。</w:t>
      </w:r>
    </w:p>
    <w:p>
      <w:pPr>
        <w:spacing w:line="580" w:lineRule="exact"/>
        <w:ind w:firstLine="640"/>
        <w:jc w:val="both"/>
      </w:pPr>
      <w:r>
        <w:rPr>
          <w:rFonts w:ascii="仿宋_GB2312" w:hAnsi="仿宋_GB2312" w:eastAsia="仿宋_GB2312"/>
          <w:b w:val="0"/>
          <w:sz w:val="32"/>
        </w:rPr>
        <w:t>5.资源勘探工业信息等支出（类）8.18万元，占0.35%。</w:t>
      </w:r>
    </w:p>
    <w:p>
      <w:pPr>
        <w:spacing w:line="580" w:lineRule="exact"/>
        <w:ind w:firstLine="640"/>
        <w:jc w:val="both"/>
      </w:pPr>
      <w:r>
        <w:rPr>
          <w:rFonts w:ascii="仿宋_GB2312" w:hAnsi="仿宋_GB2312" w:eastAsia="仿宋_GB2312"/>
          <w:b w:val="0"/>
          <w:sz w:val="32"/>
        </w:rPr>
        <w:t>6.住房保障支出（类）51.27万元，占2.20%。</w:t>
      </w:r>
    </w:p>
    <w:p>
      <w:pPr>
        <w:spacing w:line="580" w:lineRule="exact"/>
        <w:ind w:firstLine="640"/>
        <w:jc w:val="both"/>
      </w:pPr>
      <w:r>
        <w:rPr>
          <w:rFonts w:ascii="仿宋_GB2312" w:hAnsi="仿宋_GB2312" w:eastAsia="仿宋_GB2312"/>
          <w:b w:val="0"/>
          <w:sz w:val="32"/>
        </w:rPr>
        <w:t>7.其他支出（类）8.03万元，占0.34%。</w:t>
      </w:r>
    </w:p>
    <w:p>
      <w:pPr>
        <w:spacing w:line="640" w:lineRule="exact"/>
        <w:ind w:firstLine="640"/>
        <w:jc w:val="both"/>
        <w:outlineLvl w:val="3"/>
      </w:pPr>
      <w:r>
        <w:rPr>
          <w:rFonts w:ascii="楷体_GB2312" w:hAnsi="楷体_GB2312" w:eastAsia="楷体_GB2312"/>
          <w:b/>
          <w:sz w:val="32"/>
        </w:rPr>
        <w:t>（三）一般公共预算财政拨款支出决算具体情况</w:t>
      </w:r>
    </w:p>
    <w:p>
      <w:pPr>
        <w:spacing w:line="580" w:lineRule="exact"/>
        <w:ind w:firstLine="640"/>
        <w:jc w:val="both"/>
      </w:pPr>
      <w:r>
        <w:rPr>
          <w:rFonts w:ascii="仿宋_GB2312" w:hAnsi="仿宋_GB2312" w:eastAsia="仿宋_GB2312"/>
          <w:b w:val="0"/>
          <w:sz w:val="32"/>
        </w:rPr>
        <w:t>1.科学技术支出（类）基础研究（款）科技人才队伍建设（项）：支出决算数为43.52万元，比上年决算减少2.87万元，下降6.19%，主要原因是：本年天山英才培养计划项目资金较上年减少，导致经费支出减少。</w:t>
      </w:r>
    </w:p>
    <w:p>
      <w:pPr>
        <w:spacing w:line="580" w:lineRule="exact"/>
        <w:ind w:firstLine="640"/>
        <w:jc w:val="both"/>
      </w:pPr>
      <w:r>
        <w:rPr>
          <w:rFonts w:ascii="仿宋_GB2312" w:hAnsi="仿宋_GB2312" w:eastAsia="仿宋_GB2312"/>
          <w:b w:val="0"/>
          <w:sz w:val="32"/>
        </w:rPr>
        <w:t>2.科学技术支出（类）技术研究与开发（款）其他技术研究与开发支出（项）：支出决算数为0.00万元，比上年决算减少15.29万元，下降100.00%，主要原因是：本年减少昌吉州规模养殖肉牛主要疫病调查及防控技术研究、新疆现代化商品蛋鸡饲养管理综合配套技术研究与推广，功能科目调整，新疆现代化商品蛋鸡饲养管理综合配套技术研究与推广资金由其他技术研究与开发支出科目调整至科技人才队伍建设科目，导致经费支出减少。</w:t>
      </w:r>
    </w:p>
    <w:p>
      <w:pPr>
        <w:spacing w:line="580" w:lineRule="exact"/>
        <w:ind w:firstLine="640"/>
        <w:jc w:val="both"/>
      </w:pPr>
      <w:r>
        <w:rPr>
          <w:rFonts w:ascii="仿宋_GB2312" w:hAnsi="仿宋_GB2312" w:eastAsia="仿宋_GB2312"/>
          <w:b w:val="0"/>
          <w:sz w:val="32"/>
        </w:rPr>
        <w:t>3.社会保障和就业支出（类）行政事业单位养老支出（款）事业单位离退休（项）：支出决算数为26.33万元，比上年决算增加7.35万元，增长38.72%，主要原因是：本年增加退休人员基础绩效奖，退休费支出增。</w:t>
      </w:r>
    </w:p>
    <w:p>
      <w:pPr>
        <w:spacing w:line="580" w:lineRule="exact"/>
        <w:ind w:firstLine="640"/>
        <w:jc w:val="both"/>
      </w:pPr>
      <w:r>
        <w:rPr>
          <w:rFonts w:ascii="仿宋_GB2312" w:hAnsi="仿宋_GB2312" w:eastAsia="仿宋_GB2312"/>
          <w:b w:val="0"/>
          <w:sz w:val="32"/>
        </w:rPr>
        <w:t>4.社会保障和就业支出（类）行政事业单位养老支出（款）机关事业单位基本养老保险缴费支出（项）：支出决算数为65.94万元，比上年决算增加11.25万元，增长20.57%，主要原因是：本年在职人员增加，养老保险缴费较上年增加。</w:t>
      </w:r>
    </w:p>
    <w:p>
      <w:pPr>
        <w:spacing w:line="580" w:lineRule="exact"/>
        <w:ind w:firstLine="640"/>
        <w:jc w:val="both"/>
      </w:pPr>
      <w:r>
        <w:rPr>
          <w:rFonts w:ascii="仿宋_GB2312" w:hAnsi="仿宋_GB2312" w:eastAsia="仿宋_GB2312"/>
          <w:b w:val="0"/>
          <w:sz w:val="32"/>
        </w:rPr>
        <w:t>5.社会保障和就业支出（类）行政事业单位养老支出（款）机关事业单位职业年金缴费支出（项）：支出决算数为45.21万元，比上年决算增加10.16万元，增长28.99%，主要原因是：本年在职人员增加，职业年金缴费较上年增加。</w:t>
      </w:r>
    </w:p>
    <w:p>
      <w:pPr>
        <w:spacing w:line="580" w:lineRule="exact"/>
        <w:ind w:firstLine="640"/>
        <w:jc w:val="both"/>
      </w:pPr>
      <w:r>
        <w:rPr>
          <w:rFonts w:ascii="仿宋_GB2312" w:hAnsi="仿宋_GB2312" w:eastAsia="仿宋_GB2312"/>
          <w:b w:val="0"/>
          <w:sz w:val="32"/>
        </w:rPr>
        <w:t>6.卫生健康支出（类）行政事业单位医疗（款）事业单位医疗（项）：支出决算数为34.47万元，比上年决算增加6.96万元，增长25.30%，主要原因是：本年在职人员增加，事业单位医疗支出较上年增加。</w:t>
      </w:r>
    </w:p>
    <w:p>
      <w:pPr>
        <w:spacing w:line="580" w:lineRule="exact"/>
        <w:ind w:firstLine="640"/>
        <w:jc w:val="both"/>
      </w:pPr>
      <w:r>
        <w:rPr>
          <w:rFonts w:ascii="仿宋_GB2312" w:hAnsi="仿宋_GB2312" w:eastAsia="仿宋_GB2312"/>
          <w:b w:val="0"/>
          <w:sz w:val="32"/>
        </w:rPr>
        <w:t>7.卫生健康支出（类）行政事业单位医疗（款）公务员医疗补助（项）：支出决算数为17.11万元，比上年决算增加15.40万元，增长900.58%，主要原因是：本年在职人员增加，公务员医疗补助较上年增加。</w:t>
      </w:r>
    </w:p>
    <w:p>
      <w:pPr>
        <w:spacing w:line="580" w:lineRule="exact"/>
        <w:ind w:firstLine="640"/>
        <w:jc w:val="both"/>
      </w:pPr>
      <w:r>
        <w:rPr>
          <w:rFonts w:ascii="仿宋_GB2312" w:hAnsi="仿宋_GB2312" w:eastAsia="仿宋_GB2312"/>
          <w:b w:val="0"/>
          <w:sz w:val="32"/>
        </w:rPr>
        <w:t>8.卫生健康支出（类）行政事业单位医疗（款）其他行政事业单位医疗支出（项）：支出决算数为0.32万元，比上年决算增加0.01万元，增长3.23%，主要原因是：本年在职人员增加，大病医疗保险支出较上年增加。</w:t>
      </w:r>
    </w:p>
    <w:p>
      <w:pPr>
        <w:spacing w:line="580" w:lineRule="exact"/>
        <w:ind w:firstLine="640"/>
        <w:jc w:val="both"/>
      </w:pPr>
      <w:r>
        <w:rPr>
          <w:rFonts w:ascii="仿宋_GB2312" w:hAnsi="仿宋_GB2312" w:eastAsia="仿宋_GB2312"/>
          <w:b w:val="0"/>
          <w:sz w:val="32"/>
        </w:rPr>
        <w:t>9.农林水支出（类）农业农村（款）事业运行（项）：支出决算数为564.60万元，比上年决算增加103.89万元，增长22.55%，主要原因是：一是本年在职人员工资调增，导致相关人员经费较上年有所增加，二是本年新增在职人员，人员经费增加，导致经费较上年有所增加。</w:t>
      </w:r>
    </w:p>
    <w:p>
      <w:pPr>
        <w:spacing w:line="580" w:lineRule="exact"/>
        <w:ind w:firstLine="640"/>
        <w:jc w:val="both"/>
      </w:pPr>
      <w:r>
        <w:rPr>
          <w:rFonts w:ascii="仿宋_GB2312" w:hAnsi="仿宋_GB2312" w:eastAsia="仿宋_GB2312"/>
          <w:b w:val="0"/>
          <w:sz w:val="32"/>
        </w:rPr>
        <w:t>10.农林水支出（类）农业农村（款）病虫害控制（项）：支出决算数为1,033.10万元，比上年决算减少401.48万元，下降27.99%，主要原因是：本年中央农业防灾减灾和水利救灾资金（动物防疫补助）较上年减少，导致经费支出减少。</w:t>
      </w:r>
    </w:p>
    <w:p>
      <w:pPr>
        <w:spacing w:line="580" w:lineRule="exact"/>
        <w:ind w:firstLine="640"/>
        <w:jc w:val="both"/>
      </w:pPr>
      <w:r>
        <w:rPr>
          <w:rFonts w:ascii="仿宋_GB2312" w:hAnsi="仿宋_GB2312" w:eastAsia="仿宋_GB2312"/>
          <w:b w:val="0"/>
          <w:sz w:val="32"/>
        </w:rPr>
        <w:t>11.农林水支出（类）农业农村（款）防灾救灾（项）：支出决算数为0.00万元，比上年决算减少58.00万元，下降100.00%，主要原因是：本年减少中央农业防灾减灾和水利救灾资金项目。</w:t>
      </w:r>
    </w:p>
    <w:p>
      <w:pPr>
        <w:spacing w:line="580" w:lineRule="exact"/>
        <w:ind w:firstLine="640"/>
        <w:jc w:val="both"/>
      </w:pPr>
      <w:r>
        <w:rPr>
          <w:rFonts w:ascii="仿宋_GB2312" w:hAnsi="仿宋_GB2312" w:eastAsia="仿宋_GB2312"/>
          <w:b w:val="0"/>
          <w:sz w:val="32"/>
        </w:rPr>
        <w:t>12.农林水支出（类）农业农村（款）农业生产发展（项）：支出决算数为41.96万元，比上年决算减少141.06万元，下降77.07%，主要原因是：本年减少牧区畜牧良种补贴项目。</w:t>
      </w:r>
    </w:p>
    <w:p>
      <w:pPr>
        <w:spacing w:line="580" w:lineRule="exact"/>
        <w:ind w:firstLine="640"/>
        <w:jc w:val="both"/>
      </w:pPr>
      <w:r>
        <w:rPr>
          <w:rFonts w:ascii="仿宋_GB2312" w:hAnsi="仿宋_GB2312" w:eastAsia="仿宋_GB2312"/>
          <w:b w:val="0"/>
          <w:sz w:val="32"/>
        </w:rPr>
        <w:t>13.农林水支出（类）农业农村（款）农村合作经济（项）：支出决算数为29.55万元，比上年决算增加0.45万元，增长1.55%，主要原因是：本年中央农业经营主体能力提升基层农技推广体系改革与建设资金增加。</w:t>
      </w:r>
    </w:p>
    <w:p>
      <w:pPr>
        <w:spacing w:line="580" w:lineRule="exact"/>
        <w:ind w:firstLine="640"/>
        <w:jc w:val="both"/>
      </w:pPr>
      <w:r>
        <w:rPr>
          <w:rFonts w:ascii="仿宋_GB2312" w:hAnsi="仿宋_GB2312" w:eastAsia="仿宋_GB2312"/>
          <w:b w:val="0"/>
          <w:sz w:val="32"/>
        </w:rPr>
        <w:t>14.农林水支出（类）农业农村（款）其他农业农村支出（项）：支出决算数为358.10万元，比上年决算减少401.63万元，下降52.86%，主要原因是：本年进口牛冻精推广使用项目、肉牛冻精补助项目、动物防疫补助资金减少，相关支出减少。</w:t>
      </w:r>
    </w:p>
    <w:p>
      <w:pPr>
        <w:spacing w:line="580" w:lineRule="exact"/>
        <w:ind w:firstLine="640"/>
        <w:jc w:val="both"/>
      </w:pPr>
      <w:r>
        <w:rPr>
          <w:rFonts w:ascii="仿宋_GB2312" w:hAnsi="仿宋_GB2312" w:eastAsia="仿宋_GB2312"/>
          <w:b w:val="0"/>
          <w:sz w:val="32"/>
        </w:rPr>
        <w:t>15.资源勘探工业信息等支出（类）制造业（款）通信设备、计算机及其他电子设备制造业（项）：支出决算数为8.18万元，比上年决算增加8.18万元，增长100.00%，主要原因是：本年增加专项业务经费，导致经费支出增加。</w:t>
      </w:r>
    </w:p>
    <w:p>
      <w:pPr>
        <w:spacing w:line="580" w:lineRule="exact"/>
        <w:ind w:firstLine="640"/>
        <w:jc w:val="both"/>
      </w:pPr>
      <w:r>
        <w:rPr>
          <w:rFonts w:ascii="仿宋_GB2312" w:hAnsi="仿宋_GB2312" w:eastAsia="仿宋_GB2312"/>
          <w:b w:val="0"/>
          <w:sz w:val="32"/>
        </w:rPr>
        <w:t>16.住房保障支出（类）住房改革支出（款）住房公积金（项）：支出决算数为51.27万元，比上年决算增加7.73万元，增长17.75%，主要原因是：本年在职人员增加，住房公积金支出较上年增加。</w:t>
      </w:r>
    </w:p>
    <w:p>
      <w:pPr>
        <w:spacing w:line="580" w:lineRule="exact"/>
        <w:ind w:firstLine="640"/>
        <w:jc w:val="both"/>
      </w:pPr>
      <w:r>
        <w:rPr>
          <w:rFonts w:ascii="仿宋_GB2312" w:hAnsi="仿宋_GB2312" w:eastAsia="仿宋_GB2312"/>
          <w:b w:val="0"/>
          <w:sz w:val="32"/>
        </w:rPr>
        <w:t>17.其他支出（类）其他支出（款）其他支出（项）：支出决算数为8.03万元，比上年决算减少2.32万元，下降22.42%，主要原因是：本年为民办实事工作经费减少，支出相应减少。</w:t>
      </w:r>
    </w:p>
    <w:p>
      <w:pPr>
        <w:spacing w:line="640" w:lineRule="exact"/>
        <w:ind w:firstLine="640"/>
        <w:jc w:val="both"/>
        <w:outlineLvl w:val="2"/>
      </w:pPr>
      <w:r>
        <w:rPr>
          <w:rFonts w:ascii="黑体" w:hAnsi="黑体" w:eastAsia="黑体"/>
          <w:sz w:val="32"/>
        </w:rPr>
        <w:t>六、一般公共预算财政拨款基本支出决算情况说明</w:t>
      </w:r>
    </w:p>
    <w:p>
      <w:pPr>
        <w:spacing w:line="580" w:lineRule="exact"/>
        <w:ind w:firstLine="640"/>
        <w:jc w:val="both"/>
      </w:pPr>
      <w:r>
        <w:rPr>
          <w:rFonts w:ascii="仿宋_GB2312" w:hAnsi="仿宋_GB2312" w:eastAsia="仿宋_GB2312"/>
          <w:b w:val="0"/>
          <w:sz w:val="32"/>
        </w:rPr>
        <w:t>2025年度一般公共预算财政拨款基本支出808.27万元，其中：</w:t>
      </w:r>
      <w:r>
        <w:rPr>
          <w:rFonts w:ascii="仿宋_GB2312" w:hAnsi="仿宋_GB2312" w:eastAsia="仿宋_GB2312"/>
          <w:b/>
          <w:sz w:val="32"/>
        </w:rPr>
        <w:t>人员经费738.79万元，</w:t>
      </w:r>
      <w:r>
        <w:rPr>
          <w:rFonts w:ascii="仿宋_GB2312" w:hAnsi="仿宋_GB2312" w:eastAsia="仿宋_GB2312"/>
          <w:b w:val="0"/>
          <w:sz w:val="32"/>
        </w:rPr>
        <w:t>包括：基本工资、津贴补贴、奖金、绩效工资、机关事业单位基本养老保险缴费、职业年金缴费、职工基本医疗保险缴费、公务员医疗补助缴费、其他社会保障缴费、住房公积金、退休费、抚恤金、生活补助、奖励金。</w:t>
      </w:r>
    </w:p>
    <w:p>
      <w:pPr>
        <w:spacing w:line="580" w:lineRule="exact"/>
        <w:ind w:firstLine="640"/>
        <w:jc w:val="both"/>
      </w:pPr>
      <w:r>
        <w:rPr>
          <w:rFonts w:ascii="仿宋_GB2312" w:hAnsi="仿宋_GB2312" w:eastAsia="仿宋_GB2312"/>
          <w:b/>
          <w:sz w:val="32"/>
        </w:rPr>
        <w:t>公用经费69.48万元，</w:t>
      </w:r>
      <w:r>
        <w:rPr>
          <w:rFonts w:ascii="仿宋_GB2312" w:hAnsi="仿宋_GB2312" w:eastAsia="仿宋_GB2312"/>
          <w:b w:val="0"/>
          <w:sz w:val="32"/>
        </w:rPr>
        <w:t>包括：办公费、水费、电费、邮电费、取暖费、公务接待费、劳务费、委托业务费、工会经费、福利费、公务用车运行维护费、其他商品和服务支出。</w:t>
      </w:r>
    </w:p>
    <w:p>
      <w:pPr>
        <w:spacing w:line="640" w:lineRule="exact"/>
        <w:ind w:firstLine="640"/>
        <w:jc w:val="both"/>
        <w:outlineLvl w:val="2"/>
      </w:pPr>
      <w:r>
        <w:rPr>
          <w:rFonts w:ascii="黑体" w:hAnsi="黑体" w:eastAsia="黑体"/>
          <w:sz w:val="32"/>
        </w:rPr>
        <w:t>七、政府性基金预算财政拨款收入支出决算情况说明</w:t>
      </w:r>
    </w:p>
    <w:p>
      <w:pPr>
        <w:spacing w:line="580" w:lineRule="exact"/>
        <w:ind w:firstLine="640"/>
        <w:jc w:val="both"/>
      </w:pPr>
      <w:r>
        <w:rPr>
          <w:rFonts w:ascii="仿宋_GB2312" w:hAnsi="仿宋_GB2312" w:eastAsia="仿宋_GB2312"/>
          <w:b w:val="0"/>
          <w:sz w:val="32"/>
        </w:rPr>
        <w:t>本单位本年度无政府性基金预算财政拨款收入、支出及结转和结余，政府性基金预算财政拨款收入支出决算表为空表。</w:t>
      </w:r>
    </w:p>
    <w:p>
      <w:pPr>
        <w:spacing w:line="640" w:lineRule="exact"/>
        <w:ind w:firstLine="640"/>
        <w:jc w:val="both"/>
        <w:outlineLvl w:val="2"/>
      </w:pPr>
      <w:r>
        <w:rPr>
          <w:rFonts w:ascii="黑体" w:hAnsi="黑体" w:eastAsia="黑体"/>
          <w:sz w:val="32"/>
        </w:rPr>
        <w:t>八、国有资本经营预算财政拨款收入支出决算情况说明</w:t>
      </w:r>
    </w:p>
    <w:p>
      <w:pPr>
        <w:spacing w:line="580" w:lineRule="exact"/>
        <w:ind w:firstLine="640"/>
        <w:jc w:val="both"/>
      </w:pPr>
      <w:r>
        <w:rPr>
          <w:rFonts w:ascii="仿宋_GB2312" w:hAnsi="仿宋_GB2312" w:eastAsia="仿宋_GB2312"/>
          <w:b w:val="0"/>
          <w:sz w:val="32"/>
        </w:rPr>
        <w:t>本单位本年度无国有资本经营预算财政拨款收入、支出及结转和结余，国有资本经营预算财政拨款收入支出决算表为空表。</w:t>
      </w:r>
    </w:p>
    <w:p>
      <w:pPr>
        <w:spacing w:line="640" w:lineRule="exact"/>
        <w:ind w:firstLine="640"/>
        <w:jc w:val="both"/>
        <w:outlineLvl w:val="2"/>
      </w:pPr>
      <w:r>
        <w:rPr>
          <w:rFonts w:ascii="黑体" w:hAnsi="黑体" w:eastAsia="黑体"/>
          <w:sz w:val="32"/>
        </w:rPr>
        <w:t>九、财政拨款“三公”经费支出决算情况说明</w:t>
      </w:r>
    </w:p>
    <w:p>
      <w:pPr>
        <w:spacing w:line="580" w:lineRule="exact"/>
        <w:ind w:firstLine="640"/>
        <w:jc w:val="both"/>
      </w:pPr>
      <w:r>
        <w:rPr>
          <w:rFonts w:ascii="仿宋_GB2312" w:hAnsi="仿宋_GB2312" w:eastAsia="仿宋_GB2312"/>
          <w:b/>
          <w:sz w:val="32"/>
        </w:rPr>
        <w:t>2025年度财政拨款“三公”经费支出10.72万元，</w:t>
      </w:r>
      <w:r>
        <w:rPr>
          <w:rFonts w:ascii="仿宋_GB2312" w:hAnsi="仿宋_GB2312" w:eastAsia="仿宋_GB2312"/>
          <w:b w:val="0"/>
          <w:sz w:val="32"/>
        </w:rPr>
        <w:t>比上年减少1.65万元，下降13.34%，主要原因是：本年本单位未安排此项工作，因公出国（境）费用较上年减少。</w:t>
      </w:r>
      <w:r>
        <w:rPr>
          <w:rFonts w:ascii="仿宋_GB2312" w:hAnsi="仿宋_GB2312" w:eastAsia="仿宋_GB2312"/>
          <w:b w:val="0"/>
          <w:sz w:val="32"/>
        </w:rPr>
        <w:t>其中：因公出国（境）费用支出0.00万元，占0.00%，比上年减少1.65万元，下降100.00%，主要原因是：本年严格执行中央八项规定，厉行节约，无因公出国（境）费用支出。</w:t>
      </w:r>
      <w:r>
        <w:rPr>
          <w:rFonts w:ascii="仿宋_GB2312" w:hAnsi="仿宋_GB2312" w:eastAsia="仿宋_GB2312"/>
          <w:b w:val="0"/>
          <w:sz w:val="32"/>
        </w:rPr>
        <w:t>公务用车购置及运行维护费支出9.90万元，占92.35%，比上年增加0.00万元，增长0.00%，主要原因是：本单位公务用车运行维护费与上年一致无变化。</w:t>
      </w:r>
      <w:r>
        <w:rPr>
          <w:rFonts w:ascii="仿宋_GB2312" w:hAnsi="仿宋_GB2312" w:eastAsia="仿宋_GB2312"/>
          <w:b w:val="0"/>
          <w:sz w:val="32"/>
        </w:rPr>
        <w:t>公务接待费支出0.82万元，占7.65%，比上年增加0.00万元，增长0.00%，主要原因是：本单位公务接待费与上年一致无变化。</w:t>
      </w:r>
    </w:p>
    <w:p>
      <w:pPr>
        <w:spacing w:line="580" w:lineRule="exact"/>
        <w:ind w:firstLine="640"/>
        <w:jc w:val="both"/>
      </w:pPr>
      <w:r>
        <w:rPr>
          <w:rFonts w:ascii="仿宋_GB2312" w:hAnsi="仿宋_GB2312" w:eastAsia="仿宋_GB2312"/>
          <w:b/>
          <w:sz w:val="32"/>
        </w:rPr>
        <w:t>具体情况如下：</w:t>
      </w:r>
    </w:p>
    <w:p>
      <w:pPr>
        <w:spacing w:line="580" w:lineRule="exact"/>
        <w:ind w:firstLine="640"/>
        <w:jc w:val="both"/>
      </w:pPr>
      <w:r>
        <w:rPr>
          <w:rFonts w:ascii="仿宋_GB2312" w:hAnsi="仿宋_GB2312" w:eastAsia="仿宋_GB2312"/>
          <w:b w:val="0"/>
          <w:sz w:val="32"/>
        </w:rPr>
        <w:t>因公出国（境）费用0.00万元，开支内容包括本单位无因公出国（境）费用。单位全年安排的因公出国（境）团组0个，因公出国（境）0人次。</w:t>
      </w:r>
    </w:p>
    <w:p>
      <w:pPr>
        <w:spacing w:line="580" w:lineRule="exact"/>
        <w:ind w:firstLine="640"/>
        <w:jc w:val="both"/>
      </w:pPr>
      <w:r>
        <w:rPr>
          <w:rFonts w:ascii="仿宋_GB2312" w:hAnsi="仿宋_GB2312" w:eastAsia="仿宋_GB2312"/>
          <w:b w:val="0"/>
          <w:sz w:val="32"/>
        </w:rPr>
        <w:t>公务用车购置及运行维护费9.90万元，其中：公务用车购置费0.00万元，公务用车运行维护费9.90万元。公务用车运行维护费开支内容包括车辆加油费、维修费、保险费、审车费、过路费等。公务用车购置数0辆，公务用车保有量3辆。国有资产占用情况中固定资产车辆3辆，与公务用车保有量差异原因是：本单位公务用车保有量与固定资产车辆一致无差异。</w:t>
      </w:r>
    </w:p>
    <w:p>
      <w:pPr>
        <w:spacing w:line="580" w:lineRule="exact"/>
        <w:ind w:firstLine="640"/>
        <w:jc w:val="both"/>
      </w:pPr>
      <w:r>
        <w:rPr>
          <w:rFonts w:ascii="仿宋_GB2312" w:hAnsi="仿宋_GB2312" w:eastAsia="仿宋_GB2312"/>
          <w:b w:val="0"/>
          <w:sz w:val="32"/>
        </w:rPr>
        <w:t>公务接待费0.82万元，开支内容包括因重大动物疫病监测、动物防疫、畜禽品种改良等业务工作，接待上级领导检查、各县市动物疫控中心对接重点工作等产生的就餐费。单位全年安排的国内公务接待27批次，178人次。</w:t>
      </w:r>
    </w:p>
    <w:p>
      <w:pPr>
        <w:spacing w:line="580" w:lineRule="exact"/>
        <w:ind w:firstLine="640"/>
        <w:jc w:val="both"/>
      </w:pPr>
      <w:r>
        <w:rPr>
          <w:rFonts w:ascii="仿宋_GB2312" w:hAnsi="仿宋_GB2312" w:eastAsia="仿宋_GB2312"/>
          <w:b/>
          <w:sz w:val="32"/>
        </w:rPr>
        <w:t>与全年预算相比，</w:t>
      </w:r>
      <w:r>
        <w:rPr>
          <w:rFonts w:ascii="仿宋_GB2312" w:hAnsi="仿宋_GB2312" w:eastAsia="仿宋_GB2312"/>
          <w:b w:val="0"/>
          <w:sz w:val="32"/>
        </w:rPr>
        <w:t>财政拨款“三公”经费支出全年预算数10.72万元，决算数10.72万元，预决算差异率0.00%，主要原因是：严格按照预算执行，预决算无差异。其中：因公出国（境）费用全年预算数0.00万元，决算数0.00万元，预决算差异率0.00%，主要原因是：本单位无因公出国（境）费用。公务用车购置费全年预算数0.00万元，决算数0.00万元，预决算差异率0.00%，主要原因是：本单位无公务用车购置费。公务用车运行维护费全年预算数9.90万元，决算数9.90万元，预决算差异率0.00%，主要原因是：严格按照预算执行，预决算无差异。公务接待费全年预算数0.82万元，决算数0.82万元，预决算差异率0.00%，主要原因是：严格按照预算执行，预决算无差异。</w:t>
      </w:r>
    </w:p>
    <w:p>
      <w:pPr>
        <w:spacing w:line="640" w:lineRule="exact"/>
        <w:ind w:firstLine="640"/>
        <w:jc w:val="both"/>
        <w:outlineLvl w:val="2"/>
      </w:pPr>
      <w:r>
        <w:rPr>
          <w:rFonts w:ascii="黑体" w:hAnsi="黑体" w:eastAsia="黑体"/>
          <w:sz w:val="32"/>
        </w:rPr>
        <w:t>十、其他重要事项的情况说明</w:t>
      </w:r>
    </w:p>
    <w:p>
      <w:pPr>
        <w:spacing w:line="640" w:lineRule="exact"/>
        <w:ind w:firstLine="640"/>
        <w:jc w:val="both"/>
        <w:outlineLvl w:val="3"/>
      </w:pPr>
      <w:r>
        <w:rPr>
          <w:rFonts w:ascii="楷体_GB2312" w:hAnsi="楷体_GB2312" w:eastAsia="楷体_GB2312"/>
          <w:b/>
          <w:sz w:val="32"/>
        </w:rPr>
        <w:t>（一）机关运行经费及公用经费支出情况</w:t>
      </w:r>
    </w:p>
    <w:p>
      <w:pPr>
        <w:spacing w:line="580" w:lineRule="exact"/>
        <w:ind w:firstLine="640"/>
        <w:jc w:val="both"/>
      </w:pPr>
      <w:r>
        <w:rPr>
          <w:rFonts w:ascii="仿宋_GB2312" w:hAnsi="仿宋_GB2312" w:eastAsia="仿宋_GB2312"/>
          <w:b w:val="0"/>
          <w:sz w:val="32"/>
        </w:rPr>
        <w:t>2025年度昌吉回族自治州动物疾病预防控制中心（事业单位）公用经费支出69.48万元，比上年增加22.82万元，增长48.91%，主要原因是：本年业务工作增加，差旅费、劳务费相应增加。</w:t>
      </w:r>
    </w:p>
    <w:p>
      <w:pPr>
        <w:spacing w:line="640" w:lineRule="exact"/>
        <w:ind w:firstLine="640"/>
        <w:jc w:val="both"/>
        <w:outlineLvl w:val="3"/>
      </w:pPr>
      <w:r>
        <w:rPr>
          <w:rFonts w:ascii="楷体_GB2312" w:hAnsi="楷体_GB2312" w:eastAsia="楷体_GB2312"/>
          <w:b/>
          <w:sz w:val="32"/>
        </w:rPr>
        <w:t>（二）政府采购情况</w:t>
      </w:r>
    </w:p>
    <w:p>
      <w:pPr>
        <w:spacing w:line="580" w:lineRule="exact"/>
        <w:ind w:firstLine="640"/>
        <w:jc w:val="both"/>
      </w:pPr>
      <w:r>
        <w:rPr>
          <w:rFonts w:ascii="仿宋_GB2312" w:hAnsi="仿宋_GB2312" w:eastAsia="仿宋_GB2312"/>
          <w:b w:val="0"/>
          <w:sz w:val="32"/>
        </w:rPr>
        <w:t>2025年度政府采购支出总额1,167.63万元，其中：政府采购货物支出1,161.80万元、政府采购工程支出0.00万元、政府采购服务支出5.83万元。</w:t>
      </w:r>
    </w:p>
    <w:p>
      <w:pPr>
        <w:spacing w:line="580" w:lineRule="exact"/>
        <w:ind w:firstLine="640"/>
        <w:jc w:val="both"/>
      </w:pPr>
      <w:r>
        <w:rPr>
          <w:rFonts w:ascii="仿宋_GB2312" w:hAnsi="仿宋_GB2312" w:eastAsia="仿宋_GB2312"/>
          <w:b w:val="0"/>
          <w:sz w:val="32"/>
        </w:rPr>
        <w:t>授予中小企业合同金额589.39万元，占政府采购支出总额的50.48%，其中：授予小微企业合同金额228.68万元，占政府采购支出总额的19.58%。</w:t>
      </w:r>
    </w:p>
    <w:p>
      <w:pPr>
        <w:spacing w:line="640" w:lineRule="exact"/>
        <w:ind w:firstLine="640"/>
        <w:jc w:val="both"/>
        <w:outlineLvl w:val="3"/>
      </w:pPr>
      <w:r>
        <w:rPr>
          <w:rFonts w:ascii="楷体_GB2312" w:hAnsi="楷体_GB2312" w:eastAsia="楷体_GB2312"/>
          <w:b/>
          <w:sz w:val="32"/>
        </w:rPr>
        <w:t>（三）国有资产占用情况说明</w:t>
      </w:r>
    </w:p>
    <w:p>
      <w:pPr>
        <w:spacing w:line="580" w:lineRule="exact"/>
        <w:ind w:firstLine="640"/>
        <w:jc w:val="both"/>
      </w:pPr>
      <w:r>
        <w:rPr>
          <w:rFonts w:ascii="仿宋_GB2312" w:hAnsi="仿宋_GB2312" w:eastAsia="仿宋_GB2312"/>
          <w:b w:val="0"/>
          <w:sz w:val="32"/>
        </w:rPr>
        <w:t>截至2025年12月31日，房屋2,438.78平方米，价值160.59万元。车辆3辆，价值73.86万元，其中：副部（省）级及以上领导用车0辆、主要负责人用车0辆、机要通信用车0辆、应急保障用车0辆、执法执勤用车0辆、特种专业技术用车0辆、离退休干部服务用车0辆、其他用车3辆，其他用车主要是：一般公务用车。单价100万元（含）以上设备（不含车辆）0台（套）。</w:t>
      </w:r>
    </w:p>
    <w:p>
      <w:pPr>
        <w:spacing w:line="640" w:lineRule="exact"/>
        <w:ind w:firstLine="640"/>
        <w:jc w:val="both"/>
        <w:outlineLvl w:val="2"/>
      </w:pPr>
      <w:r>
        <w:rPr>
          <w:rFonts w:ascii="黑体" w:hAnsi="黑体" w:eastAsia="黑体"/>
          <w:sz w:val="32"/>
        </w:rPr>
        <w:t>十一、预算绩效的情况说明</w:t>
      </w:r>
    </w:p>
    <w:p>
      <w:pPr>
        <w:spacing w:line="580" w:lineRule="exact"/>
        <w:ind w:firstLine="640"/>
        <w:jc w:val="both"/>
      </w:pPr>
      <w:r>
        <w:rPr>
          <w:rFonts w:ascii="仿宋_GB2312" w:hAnsi="仿宋_GB2312" w:eastAsia="仿宋_GB2312"/>
          <w:b w:val="0"/>
          <w:sz w:val="32"/>
        </w:rPr>
        <w:t>根据预算绩效管理要求，本单位2025年度预算绩效管理形成整体支出绩效自评表1个，全年预算总额2,363.83万元，实际执行总额2,327.67万元；预算绩效评价项目7个，全年预算数1,551.78万元，全年执行数1,460.75万元。预算绩效管理取得的成效：一是通过预算绩效管理，加强了各科室之的协调与配合，更加全面掌握单位整体业务工作情况，为各项业务工作正常开展奠定基础。二是通过预算绩效管理，在项目方案制定、项目实施和、资金支出等环节更加科学、合理，有力推动项目实施。发现的问题及原因：一是由于部分资金下达较晚，项目在实施过程中资金执行率较低，需进一步加快项目实施进度，加强资金使用管理，确保资金用到实处，项目有序、高效推进，加强自身内部控制建设，提高服务能力。二是绩效指标的明确性、可衡量性、相关性还需进一步提升。预算精细化管理还需完善，预算编制管理水平仍需进一步提升。下一步改进措施：一是加强内部管理，严格执行预算，坚持厉行节约，进一步降低财务支出，加强各单位预算资金管理，减少预算资金使用的随意性，加大对预算编制与执行的监督管理力度，提高预算资金使用效率。二是加强对绩效的管理培训工作，设置目标时考虑目标的可实现，尽量做到目标的细化量化、明确清晰。完善绩效指标，提高整体绩效目标质量。提升预算精细化管理水平。具体附整体支出绩效自评表、项目支出绩效自评表及项目支出绩效评价报告。</w:t>
      </w:r>
    </w:p>
    <w:p>
      <w:r>
        <w:br w:type="page"/>
      </w:r>
    </w:p>
    <w:tbl>
      <w:tblPr>
        <w:tblW w:type="pct" w:w="5000"/>
        <w:tblLayout w:type="fixed"/>
        <w:tblLook w:firstColumn="1" w:firstRow="1" w:lastColumn="0" w:lastRow="0" w:noHBand="0" w:noVBand="1" w:val="04A0"/>
        <w:tblCellMar>
          <w:top w:w="36" w:type="dxa"/>
          <w:left w:w="36" w:type="dxa"/>
          <w:bottom w:w="36" w:type="dxa"/>
          <w:right w:w="36" w:type="dxa"/>
        </w:tblCellMar>
      </w:tblPr>
      <w:tblGrid>
        <w:gridCol w:w="477"/>
        <w:gridCol w:w="1187"/>
        <w:gridCol w:w="1256"/>
        <w:gridCol w:w="1226"/>
        <w:gridCol w:w="994"/>
        <w:gridCol w:w="1032"/>
        <w:gridCol w:w="794"/>
        <w:gridCol w:w="935"/>
        <w:gridCol w:w="942"/>
      </w:tblGrid>
      <w:tr>
        <w:trPr>
          <w:trHeight w:val="522" w:hRule="atLeast"/>
          <w:cantSplit/>
        </w:trPr>
        <w:tc>
          <w:tcPr>
            <w:tcW w:type="dxa" w:w="983"/>
            <w:gridSpan w:val="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部门（单位）整体支出绩效目标自评表</w:t>
            </w:r>
          </w:p>
        </w:tc>
      </w:tr>
      <w:tr>
        <w:trPr>
          <w:trHeight w:val="360" w:hRule="atLeast"/>
          <w:cantSplit/>
        </w:trPr>
        <w:tc>
          <w:tcPr>
            <w:tcW w:type="dxa" w:w="983"/>
            <w:gridSpan w:val="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（2025年度）</w:t>
            </w:r>
          </w:p>
        </w:tc>
      </w:tr>
      <w:tr>
        <w:trPr>
          <w:trHeight w:val="660" w:hRule="atLeast"/>
          <w:cantSplit/>
        </w:trPr>
        <w:tc>
          <w:tcPr>
            <w:tcW w:type="dxa" w:w="98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部门（单位）名称</w:t>
            </w:r>
          </w:p>
        </w:tc>
        <w:tc>
          <w:tcPr>
            <w:tcW w:type="dxa" w:w="983"/>
            <w:gridSpan w:val="7"/>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昌吉回族自治州动物疾病预防控制中心</w:t>
            </w:r>
          </w:p>
        </w:tc>
      </w:tr>
      <w:tr>
        <w:trPr>
          <w:trHeight w:val="570" w:hRule="atLeast"/>
          <w:cantSplit/>
        </w:trPr>
        <w:tc>
          <w:tcPr>
            <w:tcW w:type="dxa" w:w="983"/>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部门资金（万元）</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资金来源</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年初预算数</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全年预算数</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全年执行数</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分值权重</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执行率</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得分</w:t>
            </w:r>
          </w:p>
        </w:tc>
      </w:tr>
      <w:tr>
        <w:trPr>
          <w:trHeight w:val="880" w:hRule="atLeast"/>
          <w:cantSplit/>
        </w:trPr>
        <w:tc>
          <w:tcPr>
            <w:tcW w:type="dxa" w:w="983"/>
            <w:gridSpan w:val="2"/>
            <w:vMerge/>
            <w:tcBorders>
              <w:start w:sz="10" w:val="single"/>
              <w:top w:sz="10" w:val="single"/>
              <w:end w:sz="10" w:val="single"/>
              <w:bottom w:sz="10" w:val="single"/>
              <w:insideV w:sz="10" w:val="single"/>
            </w:tcBorders>
          </w:tcP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上级资金</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1,267.21</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1,161.29</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1,161.29</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r>
      <w:tr>
        <w:trPr>
          <w:trHeight w:val="880" w:hRule="atLeast"/>
          <w:cantSplit/>
        </w:trPr>
        <w:tc>
          <w:tcPr>
            <w:tcW w:type="dxa" w:w="983"/>
            <w:gridSpan w:val="2"/>
            <w:vMerge/>
            <w:tcBorders>
              <w:start w:sz="10" w:val="single"/>
              <w:top w:sz="10" w:val="single"/>
              <w:end w:sz="10" w:val="single"/>
              <w:bottom w:sz="10" w:val="single"/>
              <w:insideV w:sz="10" w:val="single"/>
            </w:tcBorders>
          </w:tcP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本级资金</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833.02</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1,193.54</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1,166.38</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r>
      <w:tr>
        <w:trPr>
          <w:trHeight w:val="880" w:hRule="atLeast"/>
          <w:cantSplit/>
        </w:trPr>
        <w:tc>
          <w:tcPr>
            <w:tcW w:type="dxa" w:w="983"/>
            <w:gridSpan w:val="2"/>
            <w:vMerge/>
            <w:tcBorders>
              <w:start w:sz="10" w:val="single"/>
              <w:top w:sz="10" w:val="single"/>
              <w:end w:sz="10" w:val="single"/>
              <w:bottom w:sz="10" w:val="single"/>
              <w:insideV w:sz="10" w:val="single"/>
            </w:tcBorders>
          </w:tcP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其他资金</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9.00</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r>
      <w:tr>
        <w:trPr>
          <w:trHeight w:val="880" w:hRule="atLeast"/>
          <w:cantSplit/>
        </w:trPr>
        <w:tc>
          <w:tcPr>
            <w:tcW w:type="dxa" w:w="983"/>
            <w:gridSpan w:val="2"/>
            <w:vMerge/>
            <w:tcBorders>
              <w:start w:sz="10" w:val="single"/>
              <w:top w:sz="10" w:val="single"/>
              <w:end w:sz="10" w:val="single"/>
              <w:bottom w:sz="10" w:val="single"/>
              <w:insideV w:sz="10" w:val="single"/>
            </w:tcBorders>
          </w:tcP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合计</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2,100.23</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2,363.83</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2,327.67</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98.47%</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9.85</w:t>
            </w:r>
          </w:p>
        </w:tc>
      </w:tr>
      <w:tr>
        <w:trPr>
          <w:trHeight w:val="705" w:hRule="atLeast"/>
          <w:cantSplit/>
        </w:trPr>
        <w:tc>
          <w:tcPr>
            <w:tcW w:type="dxa" w:w="983"/>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年度总体目标</w:t>
            </w:r>
          </w:p>
        </w:tc>
        <w:tc>
          <w:tcPr>
            <w:tcW w:type="dxa" w:w="983"/>
            <w:gridSpan w:val="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预期目标</w:t>
            </w:r>
          </w:p>
        </w:tc>
        <w:tc>
          <w:tcPr>
            <w:tcW w:type="dxa" w:w="983"/>
            <w:gridSpan w:val="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实际完成情况</w:t>
            </w:r>
          </w:p>
        </w:tc>
      </w:tr>
      <w:tr>
        <w:trPr>
          <w:trHeight w:val="2000" w:hRule="atLeast"/>
        </w:trPr>
        <w:tc>
          <w:tcPr>
            <w:tcW w:type="dxa" w:w="983"/>
            <w:gridSpan w:val="2"/>
            <w:vMerge/>
            <w:tcBorders>
              <w:start w:sz="10" w:val="single"/>
              <w:top w:sz="10" w:val="single"/>
              <w:end w:sz="10" w:val="single"/>
              <w:bottom w:sz="10" w:val="single"/>
              <w:insideV w:sz="10" w:val="single"/>
            </w:tcBorders>
          </w:tcPr>
          <w:p/>
        </w:tc>
        <w:tc>
          <w:tcPr>
            <w:tcW w:type="dxa" w:w="983"/>
            <w:gridSpan w:val="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坚持以习近平新时代中国特色社会主义思想为引领，完整准确贯彻党的二十大和二十届三中全会精神，认真落实中央、区、州“三农”工作重要部署，紧紧围绕“动物疫病防控和牛羊品种改良”重点工作，立足维护养殖业生产安全、公共卫生安全、生态安全和生物安全大局。根据国家和自治区《动物疫病强制免疫指导意见（2022-2025年）》要求，持续强化重大动物疫病防控工作，持续推进“春秋两季集中免疫和月月补免”相结合的动物疫病防控措施，加强动物疫病预警预报监测，持续提升重大动物疫病监测预警能力，确保强制免疫密度达标；大力推广牛羊品种改良及“两年三产六羔”肉羊高效养殖模式，建立牛品种改良技术服务体系，不断转变畜牧业发展方式，年内完成牛羊品种改良任务；不断加强重大动物疫病防控和畜牧兽医技术推广服务工作，推进专业技术服务体系建设，做好科研项目实施。通过项目实施，有效确保全州不发生重大动物疫情，助力昌吉州畜牧业高质量发展。</w:t>
            </w:r>
          </w:p>
        </w:tc>
        <w:tc>
          <w:tcPr>
            <w:tcW w:type="dxa" w:w="983"/>
            <w:gridSpan w:val="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我单位全年预算数为2363.83万元，全年执行数为2327.67万元，总预算执行率为98.47%。2025年我单位完成以下工作内容：1.重大动物疫病监测5.25万份次；2.开展重大动物疫病集中监测采样2次；3.全州牛羊品种改良91.78万头只；4.开展畜牧兽医技术培训2次。通过以上工作的实施，加强动物疫病预警预报监测，持续提升重大动物疫病监测预警能力，确保强制免疫密度达标；大力推广牛羊品种改良及“两年三产六羔”肉羊高效养殖模式，建立牛品种改良技术服务体系，不断转变畜牧业发展方式，年内完成牛羊品种改良任务；不断加强重大动物疫病防控和畜牧兽医技术推广服务工作，推进专业技术服务体系建设，做好科研项目实施。通过项目实施，有效确保全州不发生重大动物疫情，助力昌吉州畜牧业高质量发展。</w:t>
            </w:r>
          </w:p>
        </w:tc>
      </w:tr>
      <w:tr>
        <w:trPr>
          <w:trHeight w:val="580" w:hRule="atLeast"/>
          <w:cantSplit/>
        </w:trPr>
        <w:tc>
          <w:tcPr>
            <w:tcW w:type="dxa" w:w="983"/>
            <w:gridSpan w:val="2"/>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一级指标</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二级指标</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三级指标</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预期指标值</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指标值设定依据</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分值权重</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实际完成指标值</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得分</w:t>
            </w:r>
          </w:p>
        </w:tc>
      </w:tr>
      <w:tr>
        <w:trPr>
          <w:trHeight w:val="740" w:hRule="atLeast"/>
          <w:cantSplit/>
        </w:trPr>
        <w:tc>
          <w:tcPr>
            <w:tcW w:type="dxa" w:w="983"/>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履职效能</w:t>
            </w:r>
          </w:p>
        </w:tc>
        <w:tc>
          <w:tcPr>
            <w:tcW w:type="dxa" w:w="98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重大动物疫病监测数量</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=4.7万份次</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州动物疾控中心2025年重点工作计划</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15</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5.25万份次</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15</w:t>
            </w:r>
          </w:p>
        </w:tc>
      </w:tr>
      <w:tr>
        <w:trPr>
          <w:trHeight w:val="740" w:hRule="atLeast"/>
          <w:cantSplit/>
        </w:trPr>
        <w:tc>
          <w:tcPr>
            <w:tcW w:type="dxa" w:w="983"/>
            <w:gridSpan w:val="2"/>
            <w:vMerge/>
            <w:tcBorders>
              <w:start w:sz="10" w:val="single"/>
              <w:top w:sz="10" w:val="single"/>
              <w:end w:sz="10" w:val="single"/>
              <w:bottom w:sz="10" w:val="single"/>
              <w:insideV w:sz="10" w:val="single"/>
            </w:tcBorders>
          </w:tcPr>
          <w:p/>
        </w:tc>
        <w:tc>
          <w:tcPr>
            <w:tcW w:type="dxa" w:w="983"/>
            <w:vMerge/>
            <w:tcBorders>
              <w:start w:sz="10" w:val="single"/>
              <w:top w:sz="10" w:val="single"/>
              <w:end w:sz="10" w:val="single"/>
              <w:bottom w:sz="10" w:val="single"/>
              <w:insideV w:sz="10" w:val="single"/>
            </w:tcBorders>
          </w:tcP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重大动物疫病集中监测采样次数</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&gt;=2次</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州动物疾控中心2025年重点工作计划</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=2次</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w:t>
            </w:r>
          </w:p>
        </w:tc>
      </w:tr>
      <w:tr>
        <w:trPr>
          <w:trHeight w:val="740" w:hRule="atLeast"/>
          <w:cantSplit/>
        </w:trPr>
        <w:tc>
          <w:tcPr>
            <w:tcW w:type="dxa" w:w="983"/>
            <w:gridSpan w:val="2"/>
            <w:vMerge/>
            <w:tcBorders>
              <w:start w:sz="10" w:val="single"/>
              <w:top w:sz="10" w:val="single"/>
              <w:end w:sz="10" w:val="single"/>
              <w:bottom w:sz="10" w:val="single"/>
              <w:insideV w:sz="10" w:val="single"/>
            </w:tcBorders>
          </w:tcPr>
          <w:p/>
        </w:tc>
        <w:tc>
          <w:tcPr>
            <w:tcW w:type="dxa" w:w="983"/>
            <w:vMerge/>
            <w:tcBorders>
              <w:start w:sz="10" w:val="single"/>
              <w:top w:sz="10" w:val="single"/>
              <w:end w:sz="10" w:val="single"/>
              <w:bottom w:sz="10" w:val="single"/>
              <w:insideV w:sz="10" w:val="single"/>
            </w:tcBorders>
          </w:tcP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全州牛羊品种改良数量</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&gt;=80万头只</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昌吉州贯彻《自治区关于促进畜牧业高质量发展的意见》的实施意见、州动物疾控中心2025年重点工作计划</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＝91.78万头只</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w:t>
            </w:r>
          </w:p>
        </w:tc>
      </w:tr>
      <w:tr>
        <w:trPr>
          <w:trHeight w:val="740" w:hRule="atLeast"/>
          <w:cantSplit/>
        </w:trPr>
        <w:tc>
          <w:tcPr>
            <w:tcW w:type="dxa" w:w="983"/>
            <w:gridSpan w:val="2"/>
            <w:vMerge/>
            <w:tcBorders>
              <w:start w:sz="10" w:val="single"/>
              <w:top w:sz="10" w:val="single"/>
              <w:end w:sz="10" w:val="single"/>
              <w:bottom w:sz="10" w:val="single"/>
              <w:insideV w:sz="10" w:val="single"/>
            </w:tcBorders>
          </w:tcPr>
          <w:p/>
        </w:tc>
        <w:tc>
          <w:tcPr>
            <w:tcW w:type="dxa" w:w="983"/>
            <w:vMerge/>
            <w:tcBorders>
              <w:start w:sz="10" w:val="single"/>
              <w:top w:sz="10" w:val="single"/>
              <w:end w:sz="10" w:val="single"/>
              <w:bottom w:sz="10" w:val="single"/>
              <w:insideV w:sz="10" w:val="single"/>
            </w:tcBorders>
          </w:tcP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畜牧兽医技术培训</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&gt;=2次</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州动物疾控中心2025年重点工作计划</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＝2次</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w:t>
            </w:r>
          </w:p>
        </w:tc>
      </w:tr>
      <w:tr>
        <w:trPr>
          <w:trHeight w:val="740" w:hRule="atLeast"/>
          <w:cantSplit/>
        </w:trPr>
        <w:tc>
          <w:tcPr>
            <w:tcW w:type="dxa" w:w="983"/>
            <w:gridSpan w:val="2"/>
            <w:vMerge/>
            <w:tcBorders>
              <w:start w:sz="10" w:val="single"/>
              <w:top w:sz="10" w:val="single"/>
              <w:end w:sz="10" w:val="single"/>
              <w:bottom w:sz="10" w:val="single"/>
              <w:insideV w:sz="10" w:val="single"/>
            </w:tcBorders>
          </w:tcPr>
          <w:p/>
        </w:tc>
        <w:tc>
          <w:tcPr>
            <w:tcW w:type="dxa" w:w="98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质量指标</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强制免疫病种应免畜禽的免疫密度</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&gt;=90%</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关于印发自治区2025年动物疫病免疫计划和2025年度重大动物疫病强制免疫“先打后补”实施方案的通知、州动物疾控中心2025年重点工作计划</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15</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＝99.24%</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15</w:t>
            </w:r>
          </w:p>
        </w:tc>
      </w:tr>
      <w:tr>
        <w:trPr>
          <w:trHeight w:val="740" w:hRule="atLeast"/>
          <w:cantSplit/>
        </w:trPr>
        <w:tc>
          <w:tcPr>
            <w:tcW w:type="dxa" w:w="983"/>
            <w:gridSpan w:val="2"/>
            <w:vMerge/>
            <w:tcBorders>
              <w:start w:sz="10" w:val="single"/>
              <w:top w:sz="10" w:val="single"/>
              <w:end w:sz="10" w:val="single"/>
              <w:bottom w:sz="10" w:val="single"/>
              <w:insideV w:sz="10" w:val="single"/>
            </w:tcBorders>
          </w:tcPr>
          <w:p/>
        </w:tc>
        <w:tc>
          <w:tcPr>
            <w:tcW w:type="dxa" w:w="983"/>
            <w:vMerge/>
            <w:tcBorders>
              <w:start w:sz="10" w:val="single"/>
              <w:top w:sz="10" w:val="single"/>
              <w:end w:sz="10" w:val="single"/>
              <w:bottom w:sz="10" w:val="single"/>
              <w:insideV w:sz="10" w:val="single"/>
            </w:tcBorders>
          </w:tcP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口蹄疫、高致病性禽流感、小反刍兽疫等免疫抗体合格率</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&gt;=70%</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关于印发自治区2025年动物疫病免疫计划和2025年度重大动物疫病强制免疫“先打后补”实施方案的通知、州动物疾控中心2025年重点工作计划</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15</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＝93.72%</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15</w:t>
            </w:r>
          </w:p>
        </w:tc>
      </w:tr>
      <w:tr>
        <w:trPr>
          <w:trHeight w:val="740" w:hRule="atLeast"/>
          <w:cantSplit/>
        </w:trPr>
        <w:tc>
          <w:tcPr>
            <w:tcW w:type="dxa" w:w="983"/>
            <w:gridSpan w:val="2"/>
            <w:vMerge/>
            <w:tcBorders>
              <w:start w:sz="10" w:val="single"/>
              <w:top w:sz="10" w:val="single"/>
              <w:end w:sz="10" w:val="single"/>
              <w:bottom w:sz="10" w:val="single"/>
              <w:insideV w:sz="10" w:val="single"/>
            </w:tcBorders>
          </w:tcP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时效指标</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重大动物疫情及时处置率</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关于印发自治区2025年动物疫病免疫计划和2025年度重大动物疫病强制免疫“先打后补”实施方案的通知、州动物疾控中心2025年重点工作计划</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15</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15</w:t>
            </w:r>
          </w:p>
        </w:tc>
      </w:tr>
    </w:tbl>
    <w:p>
      <w:r>
        <w:br w:type="page"/>
      </w:r>
    </w:p>
    <w:p>
      <w:pPr>
        <w:sectPr>
          <w:footerReference r:id="rId3" w:type="default"/>
          <w:pgSz w:w="11906" w:h="16838"/>
          <w:pgMar w:top="2098" w:right="1531" w:bottom="1985" w:left="1531" w:header="851" w:footer="992" w:gutter="0"/>
          <w:cols w:space="720" w:num="1"/>
          <w:docGrid w:type="lines" w:linePitch="312" w:charSpace="0"/>
        </w:sectPr>
      </w:pPr>
    </w:p>
    <w:tbl>
      <w:tblPr>
        <w:tblW w:type="pct" w:w="5000"/>
        <w:tblLook w:firstColumn="1" w:firstRow="1" w:lastColumn="0" w:lastRow="0" w:noHBand="0" w:noVBand="1" w:val="04A0"/>
        <w:tblCellMar>
          <w:top w:w="36" w:type="dxa"/>
          <w:left w:w="36" w:type="dxa"/>
          <w:bottom w:w="36" w:type="dxa"/>
          <w:right w:w="36" w:type="dxa"/>
        </w:tblCellMar>
      </w:tblPr>
      <w:tblGrid>
        <w:gridCol w:w="352"/>
        <w:gridCol w:w="493"/>
        <w:gridCol w:w="493"/>
        <w:gridCol w:w="788"/>
        <w:gridCol w:w="560"/>
        <w:gridCol w:w="493"/>
        <w:gridCol w:w="493"/>
        <w:gridCol w:w="493"/>
        <w:gridCol w:w="493"/>
        <w:gridCol w:w="493"/>
        <w:gridCol w:w="493"/>
        <w:gridCol w:w="674"/>
        <w:gridCol w:w="598"/>
        <w:gridCol w:w="1390"/>
      </w:tblGrid>
      <w:tr>
        <w:trPr>
          <w:trHeight w:val="405"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项目支出绩效自评表</w:t>
            </w:r>
          </w:p>
        </w:tc>
      </w:tr>
      <w:tr>
        <w:trPr>
          <w:trHeight w:val="380"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(2025年度)</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项目名称</w:t>
            </w:r>
          </w:p>
        </w:tc>
        <w:tc>
          <w:tcPr>
            <w:tcW w:type="dxa" w:w="593"/>
            <w:gridSpan w:val="1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2025年中央农业防灾减灾和水利救灾资金（动物防疫补助）项目</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主管部门</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昌吉回族自治州动物疾病预防控制中心</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实施单位</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昌吉回族自治州动物疾病预防控制中心</w:t>
            </w:r>
          </w:p>
        </w:tc>
      </w:tr>
      <w:tr>
        <w:trPr>
          <w:trHeight w:val="380" w:hRule="atLeast"/>
        </w:trPr>
        <w:tc>
          <w:tcPr>
            <w:tcW w:type="dxa" w:w="593"/>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项目资金
（万元）</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年初预算数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全年执行数</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分值</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执行率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得分</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年度资金总额</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1,124.13</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1,224.13</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1,133.10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92.56%</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其中：当年财政拨款</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1,124.13</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1,224.13</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1,133.10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其他资金</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年度总体目标</w:t>
            </w: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预期目标</w:t>
            </w:r>
          </w:p>
        </w:tc>
        <w:tc>
          <w:tcPr>
            <w:tcW w:type="dxa" w:w="593"/>
            <w:gridSpan w:val="7"/>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实际完成情况</w:t>
            </w:r>
          </w:p>
        </w:tc>
      </w:tr>
      <w:tr>
        <w:trPr>
          <w:trHeight w:val="700" w:hRule="atLeast"/>
        </w:trPr>
        <w:tc>
          <w:tcPr>
            <w:tcW w:type="dxa" w:w="593"/>
            <w:vMerge/>
            <w:tcBorders>
              <w:start w:sz="10" w:val="single"/>
              <w:top w:sz="10" w:val="single"/>
              <w:end w:sz="10" w:val="single"/>
              <w:bottom w:sz="10" w:val="single"/>
              <w:insideV w:sz="10" w:val="single"/>
            </w:tcBorders>
          </w:tcP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根据（昌州财农【2024】60号）《关于提前下达2025年中央农业防灾减灾和水利救灾资金（动物防疫补助）预算的通知》、（昌州财农【2024】63号）《关于提前下达2025年自治区农业防灾减灾和水利救灾资金（动物防疫补助）预算的通知》，昌州财农[2025]7号《关于下达2025年州本级农业领域项目资金预算的通知》，结合昌吉州实际防疫情况，2025年计划采购全州禽流感疫苗、口蹄疫疫苗和小反刍兽疫等疫苗一批，确保各县市动物疫苗及时供应到位。通过该项目实施，确保我州2025年动物疫病免疫工作任务全面完成，保证重大动物疫病、人畜共患病和外来动物疫病的免疫质量达到国家规定标准以上，畜禽平均免疫抗体合格率达70%的国家标准，全面推进“先打后补”工作开展，保障我州畜牧业高质量发展和公共卫生安全。</w:t>
            </w:r>
          </w:p>
        </w:tc>
        <w:tc>
          <w:tcPr>
            <w:tcW w:type="dxa" w:w="593"/>
            <w:gridSpan w:val="7"/>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截至2025年12月31日，本项目支出资金1133.10万元，资金执行率92.56%，本项目实际完成强制免疫和常见病疫苗采购12类，强制免疫病种应免畜禽免疫密度达99%。通过该项目实施，确保全州动物疫苗及时供应到位，使我州全年动物疫病免疫工作任务全面完成，畜禽平均免疫抗体合格率达80%，均高于国家标准，构筑了有效的免疫屏障，使“先打后补”工作全面推进，保障我州畜牧业高质量发展和公共卫生安全。</w:t>
            </w:r>
          </w:p>
        </w:tc>
      </w:tr>
      <w:tr>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一级指标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二级指标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三级指标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权重</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目标值</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业绩值</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完成率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指标得分</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指标值设定依据</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上年完成情况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赋分规则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佐证资料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偏差原因分析及改进措施</w:t>
            </w:r>
          </w:p>
        </w:tc>
      </w:tr>
      <w:tr>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年度绩效指标完成情况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产出指标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强制免疫病种应免畜禽的免疫密度</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&gt;=99%</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=99.24%</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100.21%</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9.98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采购疫苗种类</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&gt;=12种</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=12种</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质量指标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依法对重大动物疫情处置率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质量指标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免疫质量和免疫效果（除布病外其他强制免疫病种的平均免疫抗体合格率）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&gt;=80%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=80%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行业标准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质量指标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疫苗采购验收合格率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时效指标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项目完成工作时间</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2025年12月10日前</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2025年12月10日</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直接赋分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强制免疫疫苗和常见病疫苗采购所需经费</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&lt;=1094.13万元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=1003.1万元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“先打后补”工作经费</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&lt;=130万元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=130万元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社会效益指标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确保不发生区域性重大动物疫情</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有效确保</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有效确保</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按评判等级赋分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农牧民对政策实施满意度</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&gt;=90%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=91.67%</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101.86%</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此项指标已完成，存在偏差，偏差率为1.86%，偏差原因为：服务及时到位，补贴及时兑现，农牧民认可度提升；下一年度改进措施：持续优化服务方式，提升便民实效，加强作风建设，精准回应诉求，提升服务质效。</w:t>
            </w:r>
          </w:p>
        </w:tc>
      </w:tr>
      <w:tr>
        <w:trPr>
          <w:trHeight w:val="380" w:hRule="atLeast"/>
        </w:trPr>
        <w:tc>
          <w:tcPr>
            <w:tcW w:type="dxa" w:w="593"/>
            <w:gridSpan w:val="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总分</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99.98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bl>
    <w:p>
      <w:r>
        <w:br w:type="page"/>
      </w:r>
    </w:p>
    <w:tbl>
      <w:tblPr>
        <w:tblW w:type="pct" w:w="5000"/>
        <w:tblLook w:firstColumn="1" w:firstRow="1" w:lastColumn="0" w:lastRow="0" w:noHBand="0" w:noVBand="1" w:val="04A0"/>
        <w:tblCellMar>
          <w:top w:w="36" w:type="dxa"/>
          <w:left w:w="36" w:type="dxa"/>
          <w:bottom w:w="36" w:type="dxa"/>
          <w:right w:w="36" w:type="dxa"/>
        </w:tblCellMar>
      </w:tblPr>
      <w:tblGrid>
        <w:gridCol w:w="352"/>
        <w:gridCol w:w="493"/>
        <w:gridCol w:w="493"/>
        <w:gridCol w:w="788"/>
        <w:gridCol w:w="560"/>
        <w:gridCol w:w="493"/>
        <w:gridCol w:w="493"/>
        <w:gridCol w:w="493"/>
        <w:gridCol w:w="493"/>
        <w:gridCol w:w="493"/>
        <w:gridCol w:w="493"/>
        <w:gridCol w:w="674"/>
        <w:gridCol w:w="598"/>
        <w:gridCol w:w="1390"/>
      </w:tblGrid>
      <w:tr>
        <w:trPr>
          <w:trHeight w:val="405"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项目支出绩效自评表</w:t>
            </w:r>
          </w:p>
        </w:tc>
      </w:tr>
      <w:tr>
        <w:trPr>
          <w:trHeight w:val="380"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(2025年度)</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项目名称</w:t>
            </w:r>
          </w:p>
        </w:tc>
        <w:tc>
          <w:tcPr>
            <w:tcW w:type="dxa" w:w="593"/>
            <w:gridSpan w:val="1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2025年人才工作项目经费（水生动物疫病监测高层次人才工作室）</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主管部门</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昌吉州农业农村局</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实施单位</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昌吉回族自治州动物疾病预防控制中心</w:t>
            </w:r>
          </w:p>
        </w:tc>
      </w:tr>
      <w:tr>
        <w:trPr>
          <w:trHeight w:val="380" w:hRule="atLeast"/>
        </w:trPr>
        <w:tc>
          <w:tcPr>
            <w:tcW w:type="dxa" w:w="593"/>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项目资金
（万元）</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年初预算数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全年执行数</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分值</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执行率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得分</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年度资金总额</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3.00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其中：当年财政拨款</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3.00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其他资金</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年度总体目标</w:t>
            </w: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预期目标</w:t>
            </w:r>
          </w:p>
        </w:tc>
        <w:tc>
          <w:tcPr>
            <w:tcW w:type="dxa" w:w="593"/>
            <w:gridSpan w:val="7"/>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实际完成情况</w:t>
            </w:r>
          </w:p>
        </w:tc>
      </w:tr>
      <w:tr>
        <w:trPr>
          <w:trHeight w:val="700" w:hRule="atLeast"/>
        </w:trPr>
        <w:tc>
          <w:tcPr>
            <w:tcW w:type="dxa" w:w="593"/>
            <w:vMerge/>
            <w:tcBorders>
              <w:start w:sz="10" w:val="single"/>
              <w:top w:sz="10" w:val="single"/>
              <w:end w:sz="10" w:val="single"/>
              <w:bottom w:sz="10" w:val="single"/>
              <w:insideV w:sz="10" w:val="single"/>
            </w:tcBorders>
          </w:tcP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通过人才培养，推动我州专业技术人员掌握快速、精准的南美白对虾主要疫病现场检测技术，推广南美白对虾疫病监测预警技术，服务昌吉州南美白对虾水产养殖主产区，及时采购各类动物疫病监测试剂，保证试剂验收合格率100％，年内高效完成检测任务1500份次，检测结果准确率90％以上，保障我州南美白对虾等养殖业健康发展。</w:t>
            </w:r>
          </w:p>
        </w:tc>
        <w:tc>
          <w:tcPr>
            <w:tcW w:type="dxa" w:w="593"/>
            <w:gridSpan w:val="7"/>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截至2025年12月31日，本项目支出资金3万元，资金执行率100%，本项目实际完成水生动物疫病监测1510份；通过本项目的实施，推动我州专业技术人员掌握快速、精准的南美白对虾主要疫病现场检测技术，推广南美白对虾疫病监测预警技术，保障我州南美白对虾等养殖业健康发展。</w:t>
            </w:r>
          </w:p>
        </w:tc>
      </w:tr>
      <w:tr>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一级指标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二级指标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三级指标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权重</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目标值</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业绩值</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完成率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指标得分</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指标值设定依据</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上年完成情况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赋分规则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佐证资料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偏差原因分析及改进措施</w:t>
            </w:r>
          </w:p>
        </w:tc>
      </w:tr>
      <w:tr>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年度绩效指标完成情况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产出指标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水生动物疫病监测数量</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&gt;=1500份次</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=1510份次</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100.67%</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9.93</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质量指标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采购试剂验收合格率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质量指标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检测结果准确率（%）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&gt;=90％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时效指标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项目完成时间</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2025年12月10日</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2025年12月1日</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直接赋分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采购监测试剂等物资成本</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&lt;=1.70万元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=1.7万元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学习培训、科技转化及印刷等费用</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&lt;=1.30万元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=1.3万元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社会效益指标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保障南美白对虾等养殖业健康发展</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有效保障</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达成年度指标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按评判等级赋分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受益农牧民满意度</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&gt;=90％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=90.34％</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100.38%</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gridSpan w:val="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总分</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99.93</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bl>
    <w:p>
      <w:r>
        <w:br w:type="page"/>
      </w:r>
    </w:p>
    <w:tbl>
      <w:tblPr>
        <w:tblW w:type="pct" w:w="5000"/>
        <w:tblLook w:firstColumn="1" w:firstRow="1" w:lastColumn="0" w:lastRow="0" w:noHBand="0" w:noVBand="1" w:val="04A0"/>
        <w:tblCellMar>
          <w:top w:w="36" w:type="dxa"/>
          <w:left w:w="36" w:type="dxa"/>
          <w:bottom w:w="36" w:type="dxa"/>
          <w:right w:w="36" w:type="dxa"/>
        </w:tblCellMar>
      </w:tblPr>
      <w:tblGrid>
        <w:gridCol w:w="352"/>
        <w:gridCol w:w="493"/>
        <w:gridCol w:w="493"/>
        <w:gridCol w:w="788"/>
        <w:gridCol w:w="560"/>
        <w:gridCol w:w="493"/>
        <w:gridCol w:w="493"/>
        <w:gridCol w:w="493"/>
        <w:gridCol w:w="493"/>
        <w:gridCol w:w="493"/>
        <w:gridCol w:w="493"/>
        <w:gridCol w:w="674"/>
        <w:gridCol w:w="598"/>
        <w:gridCol w:w="1390"/>
      </w:tblGrid>
      <w:tr>
        <w:trPr>
          <w:trHeight w:val="405"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项目支出绩效自评表</w:t>
            </w:r>
          </w:p>
        </w:tc>
      </w:tr>
      <w:tr>
        <w:trPr>
          <w:trHeight w:val="380"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(2025年度)</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项目名称</w:t>
            </w:r>
          </w:p>
        </w:tc>
        <w:tc>
          <w:tcPr>
            <w:tcW w:type="dxa" w:w="593"/>
            <w:gridSpan w:val="1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2025年基层农技推广体系改革与建设项目</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主管部门</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昌吉州农业农村局</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实施单位</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昌吉回族自治州动物疾病预防控制中心</w:t>
            </w:r>
          </w:p>
        </w:tc>
      </w:tr>
      <w:tr>
        <w:trPr>
          <w:trHeight w:val="380" w:hRule="atLeast"/>
        </w:trPr>
        <w:tc>
          <w:tcPr>
            <w:tcW w:type="dxa" w:w="593"/>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项目资金
（万元）</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年初预算数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全年执行数</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分值</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执行率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得分</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年度资金总额</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29.55</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29.55</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29.55</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其中：当年财政拨款</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29.55</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29.55</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29.55</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其他资金</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年度总体目标</w:t>
            </w: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预期目标</w:t>
            </w:r>
          </w:p>
        </w:tc>
        <w:tc>
          <w:tcPr>
            <w:tcW w:type="dxa" w:w="593"/>
            <w:gridSpan w:val="7"/>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实际完成情况</w:t>
            </w:r>
          </w:p>
        </w:tc>
      </w:tr>
      <w:tr>
        <w:trPr>
          <w:trHeight w:val="700" w:hRule="atLeast"/>
        </w:trPr>
        <w:tc>
          <w:tcPr>
            <w:tcW w:type="dxa" w:w="593"/>
            <w:vMerge/>
            <w:tcBorders>
              <w:start w:sz="10" w:val="single"/>
              <w:top w:sz="10" w:val="single"/>
              <w:end w:sz="10" w:val="single"/>
              <w:bottom w:sz="10" w:val="single"/>
              <w:insideV w:sz="10" w:val="single"/>
            </w:tcBorders>
          </w:tcP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本项目2025年度计划投入财政资金29.55万元，主要实施内容为：培训专业技术人员30人，建设肉羊高效养殖示范基地1个，完成畜禽养殖要点及科技成果1项，采购同期发情专用耗材合格率达到100%，各项工作均于2025年12月10日前完成，通过项目实施，提升昌吉州畜牧业增收能力，使服务对象满意度达到90%以上。</w:t>
            </w:r>
          </w:p>
        </w:tc>
        <w:tc>
          <w:tcPr>
            <w:tcW w:type="dxa" w:w="593"/>
            <w:gridSpan w:val="7"/>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截至2025年12月31日，本项目已支出29.55万元，预算执行率为100%，本项目已完成专技人员培训30人，肉羊高效养殖示范基地建设1个，畜禽养殖要点及科技成果1项，采购同期发情专用耗材合格率100%。通过项目实施，进一步提升昌吉州畜牧业增收能力，使服务对象满意度达到90%以上。</w:t>
            </w:r>
          </w:p>
        </w:tc>
      </w:tr>
      <w:tr>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一级指标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二级指标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三级指标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权重</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目标值</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业绩值</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完成率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指标得分</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指标值设定依据</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上年完成情况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赋分规则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佐证资料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偏差原因分析及改进措施</w:t>
            </w:r>
          </w:p>
        </w:tc>
      </w:tr>
      <w:tr>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年度绩效指标完成情况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产出指标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培训专业技术人员人数</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&gt;=30人</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=30人</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肉羊高效养殖示范基地建设</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=1个</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=1个</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畜禽养殖要点及科技成果</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=1项</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=1项</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质量指标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采购同期发情专用耗材合格率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时效指标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各项工作完成及时率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2025年12月10日前</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2025年12月10日</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基层农技推广体系建设所需工作经费</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&lt;=18万元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=18万元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专技人员培训经费</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&lt;=11.55万元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=11.55万元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社会效益指标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提升畜牧业增收能力</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提升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达成年度指标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按评判等级赋分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服务对象满意度</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&gt;=90%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=99.84%</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110.93%</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此项指标已完成，存在偏差，偏差率为10.93%，偏差原因为：年初服务对象满意度根据上年业绩值设置；本年度满意度指标值为99.84%，故产生此偏差。下一步改进措施：在设置指标时综合考虑各种因素，更加精准的设置指标值。</w:t>
            </w:r>
          </w:p>
        </w:tc>
      </w:tr>
      <w:tr>
        <w:trPr>
          <w:trHeight w:val="380" w:hRule="atLeast"/>
        </w:trPr>
        <w:tc>
          <w:tcPr>
            <w:tcW w:type="dxa" w:w="593"/>
            <w:gridSpan w:val="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总分</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bl>
    <w:p>
      <w:r>
        <w:br w:type="page"/>
      </w:r>
    </w:p>
    <w:tbl>
      <w:tblPr>
        <w:tblW w:type="pct" w:w="5000"/>
        <w:tblLook w:firstColumn="1" w:firstRow="1" w:lastColumn="0" w:lastRow="0" w:noHBand="0" w:noVBand="1" w:val="04A0"/>
        <w:tblCellMar>
          <w:top w:w="36" w:type="dxa"/>
          <w:left w:w="36" w:type="dxa"/>
          <w:bottom w:w="36" w:type="dxa"/>
          <w:right w:w="36" w:type="dxa"/>
        </w:tblCellMar>
      </w:tblPr>
      <w:tblGrid>
        <w:gridCol w:w="352"/>
        <w:gridCol w:w="493"/>
        <w:gridCol w:w="493"/>
        <w:gridCol w:w="788"/>
        <w:gridCol w:w="560"/>
        <w:gridCol w:w="493"/>
        <w:gridCol w:w="493"/>
        <w:gridCol w:w="493"/>
        <w:gridCol w:w="493"/>
        <w:gridCol w:w="493"/>
        <w:gridCol w:w="493"/>
        <w:gridCol w:w="674"/>
        <w:gridCol w:w="598"/>
        <w:gridCol w:w="1390"/>
      </w:tblGrid>
      <w:tr>
        <w:trPr>
          <w:trHeight w:val="405"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项目支出绩效自评表</w:t>
            </w:r>
          </w:p>
        </w:tc>
      </w:tr>
      <w:tr>
        <w:trPr>
          <w:trHeight w:val="380"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(2025年度)</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项目名称</w:t>
            </w:r>
          </w:p>
        </w:tc>
        <w:tc>
          <w:tcPr>
            <w:tcW w:type="dxa" w:w="593"/>
            <w:gridSpan w:val="1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2025年度“庭州优秀三农人才”专项行动</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主管部门</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昌吉州农业农村局</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实施单位</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昌吉回族自治州动物疾病预防控制中心</w:t>
            </w:r>
          </w:p>
        </w:tc>
      </w:tr>
      <w:tr>
        <w:trPr>
          <w:trHeight w:val="380" w:hRule="atLeast"/>
        </w:trPr>
        <w:tc>
          <w:tcPr>
            <w:tcW w:type="dxa" w:w="593"/>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项目资金
（万元）</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年初预算数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全年执行数</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分值</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执行率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得分</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年度资金总额</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3.00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其中：当年财政拨款</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3.00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其他资金</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年度总体目标</w:t>
            </w: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预期目标</w:t>
            </w:r>
          </w:p>
        </w:tc>
        <w:tc>
          <w:tcPr>
            <w:tcW w:type="dxa" w:w="593"/>
            <w:gridSpan w:val="7"/>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实际完成情况</w:t>
            </w:r>
          </w:p>
        </w:tc>
      </w:tr>
      <w:tr>
        <w:trPr>
          <w:trHeight w:val="700" w:hRule="atLeast"/>
        </w:trPr>
        <w:tc>
          <w:tcPr>
            <w:tcW w:type="dxa" w:w="593"/>
            <w:vMerge/>
            <w:tcBorders>
              <w:start w:sz="10" w:val="single"/>
              <w:top w:sz="10" w:val="single"/>
              <w:end w:sz="10" w:val="single"/>
              <w:bottom w:sz="10" w:val="single"/>
              <w:insideV w:sz="10" w:val="single"/>
            </w:tcBorders>
          </w:tcP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通过人才培养，推动我州专业技术人员掌握快速、精准的布鲁氏菌荧光PCR检测和牛结核病γ-干扰素ELISA检测技术，服务昌吉州羊布病和牛结核病的有效防控，及时采购各类动物疫病监测试剂，保证试剂验收合格率100％，年内高效完成专业技术人员技术培训任务累计30份次，受培训对象满意度90％以上，保障我州畜牧业健康发展。</w:t>
            </w:r>
          </w:p>
        </w:tc>
        <w:tc>
          <w:tcPr>
            <w:tcW w:type="dxa" w:w="593"/>
            <w:gridSpan w:val="7"/>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截至2026年6月30日，本项目支出资金3万元，资金执行率100%，本项目实际完成了布病荧光PCR和牛结核病γ-干扰素ELISA检测技术2次，累计参训人员39人。，实现参训人员，人人会操作、人人会判读、人人懂质控，大幅提升辖区布病快速筛查、早期诊断、精准溯源能力，为区域布病净化工作提供技术支撑。对参训的39人全员开展满意度调查，37人对所有项给出很满意评价，2人对培训时间和设备给出满意评价，无其他负面评价，经综合核算满意度为95%。</w:t>
            </w:r>
          </w:p>
        </w:tc>
      </w:tr>
      <w:tr>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一级指标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二级指标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三级指标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权重</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目标值</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业绩值</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完成率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指标得分</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指标值设定依据</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上年完成情况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赋分规则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佐证资料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偏差原因分析及改进措施</w:t>
            </w:r>
          </w:p>
        </w:tc>
      </w:tr>
      <w:tr>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年度绩效指标完成情况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产出指标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开展布病检测技术培训场次</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&gt;=2次</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=2次</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补助发放人数</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&gt;=1人</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＝1人</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质量指标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补助发放准确率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时效指标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补贴发放完成时间</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=2025年12月10日前</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2025年12月2日</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补贴发放金额</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&lt;=2万元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直接赋分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培训各项费用</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&lt;=1万元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直接赋分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社会效益指标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提升羊布鲁氏菌病检测水平</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提升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达成年度指标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培训人员满意度</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&gt;=95%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＝95%</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gridSpan w:val="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总分</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bl>
    <w:p>
      <w:r>
        <w:br w:type="page"/>
      </w:r>
    </w:p>
    <w:tbl>
      <w:tblPr>
        <w:tblW w:type="pct" w:w="5000"/>
        <w:tblLook w:firstColumn="1" w:firstRow="1" w:lastColumn="0" w:lastRow="0" w:noHBand="0" w:noVBand="1" w:val="04A0"/>
        <w:tblCellMar>
          <w:top w:w="36" w:type="dxa"/>
          <w:left w:w="36" w:type="dxa"/>
          <w:bottom w:w="36" w:type="dxa"/>
          <w:right w:w="36" w:type="dxa"/>
        </w:tblCellMar>
      </w:tblPr>
      <w:tblGrid>
        <w:gridCol w:w="352"/>
        <w:gridCol w:w="493"/>
        <w:gridCol w:w="493"/>
        <w:gridCol w:w="788"/>
        <w:gridCol w:w="560"/>
        <w:gridCol w:w="493"/>
        <w:gridCol w:w="493"/>
        <w:gridCol w:w="493"/>
        <w:gridCol w:w="493"/>
        <w:gridCol w:w="493"/>
        <w:gridCol w:w="493"/>
        <w:gridCol w:w="674"/>
        <w:gridCol w:w="598"/>
        <w:gridCol w:w="1390"/>
      </w:tblGrid>
      <w:tr>
        <w:trPr>
          <w:trHeight w:val="405"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项目支出绩效自评表</w:t>
            </w:r>
          </w:p>
        </w:tc>
      </w:tr>
      <w:tr>
        <w:trPr>
          <w:trHeight w:val="380"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(2025年度)</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项目名称</w:t>
            </w:r>
          </w:p>
        </w:tc>
        <w:tc>
          <w:tcPr>
            <w:tcW w:type="dxa" w:w="593"/>
            <w:gridSpan w:val="1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2025年度现代畜禽种业提升项目</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主管部门</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昌吉州农业农村局</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实施单位</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昌吉回族自治州动物疾病预防控制中心</w:t>
            </w:r>
          </w:p>
        </w:tc>
      </w:tr>
      <w:tr>
        <w:trPr>
          <w:trHeight w:val="380" w:hRule="atLeast"/>
        </w:trPr>
        <w:tc>
          <w:tcPr>
            <w:tcW w:type="dxa" w:w="593"/>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项目资金
（万元）</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年初预算数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全年执行数</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分值</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执行率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得分</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年度资金总额</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40.00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40.00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40.00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其中：当年财政拨款</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40.00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40.00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40.00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其他资金</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年度总体目标</w:t>
            </w: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预期目标</w:t>
            </w:r>
          </w:p>
        </w:tc>
        <w:tc>
          <w:tcPr>
            <w:tcW w:type="dxa" w:w="593"/>
            <w:gridSpan w:val="7"/>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实际完成情况</w:t>
            </w:r>
          </w:p>
        </w:tc>
      </w:tr>
      <w:tr>
        <w:trPr>
          <w:trHeight w:val="700" w:hRule="atLeast"/>
        </w:trPr>
        <w:tc>
          <w:tcPr>
            <w:tcW w:type="dxa" w:w="593"/>
            <w:vMerge/>
            <w:tcBorders>
              <w:start w:sz="10" w:val="single"/>
              <w:top w:sz="10" w:val="single"/>
              <w:end w:sz="10" w:val="single"/>
              <w:bottom w:sz="10" w:val="single"/>
              <w:insideV w:sz="10" w:val="single"/>
            </w:tcBorders>
          </w:tcP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本项目2025年度计划投入财政资金40万元，主要实施内容为：组织完成羊人工授精经济杂交22万只，指导建立肉羊育肥乡镇5个，组织培训畜牧技术人员、养殖技术骨干500人次，采购人工授精专用材料验收合格率达到100%，各项工作均于2025年12月10日前完成，通过项目实施，提升昌吉州畜牧业增收能力，使受益农牧民满意度满意度达到90%以上。</w:t>
            </w:r>
          </w:p>
        </w:tc>
        <w:tc>
          <w:tcPr>
            <w:tcW w:type="dxa" w:w="593"/>
            <w:gridSpan w:val="7"/>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截至2025年12月31日，本项目已支出40万元，预算执行率为100%，本项目已组织完成羊人工授精经济杂交23.6万只，已指导建立肉羊育肥乡镇5个，组织培训畜牧技术人员、养殖技术骨干510人次，采购人工授精专用材料已完成验收，验收合格率均达到100%。通过项目实施，进一步提升昌吉州畜牧业增收能力，使受益农牧民满意度满意度达到90%以上。</w:t>
            </w:r>
          </w:p>
        </w:tc>
      </w:tr>
      <w:tr>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一级指标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二级指标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三级指标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权重</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目标值</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业绩值</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完成率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指标得分</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指标值设定依据</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上年完成情况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赋分规则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佐证资料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偏差原因分析及改进措施</w:t>
            </w:r>
          </w:p>
        </w:tc>
      </w:tr>
      <w:tr>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年度绩效指标完成情况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产出指标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组织完成羊人工授精经济杂交数量</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&gt;=22万只</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=23.67万只</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107.59%</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9.24</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此项指标已完成，存在偏差，偏差率为7.59%，偏差原因为县市开展工作中，农牧民配合程度高，超额完成目标任务；下一年度改进措施：严格对标目标任务，落实相应工作安排，积极提升农牧民满意度。</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指导建立肉羊育肥乡镇数量</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&gt;=5个</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=5个</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组织培训畜牧技术人员、养殖技术骨干数量</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&gt;=500人次</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=517人次</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103.4%</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9.66</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此项指标已完成，存在偏差，偏差率为3.4%，偏差原因为在基层开展培训工作中，农牧民积极性高，现场参与人数多，超额完成目标任务；下一年度改进措施：在培训过程中摸清底数，有序组织培训工作顺利开展。</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质量指标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采购人工授精专用材料验收合格率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时效指标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各项工作完成及时率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2025年12月10日前</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2025年12月10日</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畜禽种业提升所需工作经费</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&lt;=6.4万元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=6.4万元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专用材料采购经费</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&lt;=33.60万元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=33.6万元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社会效益指标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提升畜禽良种增收能力</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提升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达成年度指标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按评判等级赋分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受益农牧民满意度</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&gt;=90%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=99.84%</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110.93%</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此项指标已完成，存在偏差，偏差率为10.93%，偏差原因为：在实际走访过程中，基层农牧民对人工授精工作满意度高，认可该技术推广应用，所以满意度较高；下一年度改进措施：继续在基层推广新技术运用，让更多更新更优更便捷的技术手段在大地生根，让广大基层农牧民对工作满意度持续提高。</w:t>
            </w:r>
          </w:p>
        </w:tc>
      </w:tr>
      <w:tr>
        <w:trPr>
          <w:trHeight w:val="380" w:hRule="atLeast"/>
        </w:trPr>
        <w:tc>
          <w:tcPr>
            <w:tcW w:type="dxa" w:w="593"/>
            <w:gridSpan w:val="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总分</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98.90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bl>
    <w:p>
      <w:r>
        <w:br w:type="page"/>
      </w:r>
    </w:p>
    <w:tbl>
      <w:tblPr>
        <w:tblW w:type="pct" w:w="5000"/>
        <w:tblLook w:firstColumn="1" w:firstRow="1" w:lastColumn="0" w:lastRow="0" w:noHBand="0" w:noVBand="1" w:val="04A0"/>
        <w:tblCellMar>
          <w:top w:w="36" w:type="dxa"/>
          <w:left w:w="36" w:type="dxa"/>
          <w:bottom w:w="36" w:type="dxa"/>
          <w:right w:w="36" w:type="dxa"/>
        </w:tblCellMar>
      </w:tblPr>
      <w:tblGrid>
        <w:gridCol w:w="352"/>
        <w:gridCol w:w="493"/>
        <w:gridCol w:w="493"/>
        <w:gridCol w:w="788"/>
        <w:gridCol w:w="560"/>
        <w:gridCol w:w="493"/>
        <w:gridCol w:w="493"/>
        <w:gridCol w:w="493"/>
        <w:gridCol w:w="493"/>
        <w:gridCol w:w="493"/>
        <w:gridCol w:w="493"/>
        <w:gridCol w:w="674"/>
        <w:gridCol w:w="598"/>
        <w:gridCol w:w="1390"/>
      </w:tblGrid>
      <w:tr>
        <w:trPr>
          <w:trHeight w:val="405"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项目支出绩效自评表</w:t>
            </w:r>
          </w:p>
        </w:tc>
      </w:tr>
      <w:tr>
        <w:trPr>
          <w:trHeight w:val="380"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(2025年度)</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项目名称</w:t>
            </w:r>
          </w:p>
        </w:tc>
        <w:tc>
          <w:tcPr>
            <w:tcW w:type="dxa" w:w="593"/>
            <w:gridSpan w:val="1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机构运行补助经费</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主管部门</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昌吉州农业农村局</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实施单位</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昌吉回族自治州动物疾病预防控制中心</w:t>
            </w:r>
          </w:p>
        </w:tc>
      </w:tr>
      <w:tr>
        <w:trPr>
          <w:trHeight w:val="380" w:hRule="atLeast"/>
        </w:trPr>
        <w:tc>
          <w:tcPr>
            <w:tcW w:type="dxa" w:w="593"/>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项目资金
（万元）</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年初预算数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全年执行数</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分值</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执行率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得分</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年度资金总额</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49.00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49.00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49.00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其中：当年财政拨款</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49.00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49.00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49.00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其他资金</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年度总体目标</w:t>
            </w: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预期目标</w:t>
            </w:r>
          </w:p>
        </w:tc>
        <w:tc>
          <w:tcPr>
            <w:tcW w:type="dxa" w:w="593"/>
            <w:gridSpan w:val="7"/>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实际完成情况</w:t>
            </w:r>
          </w:p>
        </w:tc>
      </w:tr>
      <w:tr>
        <w:trPr>
          <w:trHeight w:val="700" w:hRule="atLeast"/>
        </w:trPr>
        <w:tc>
          <w:tcPr>
            <w:tcW w:type="dxa" w:w="593"/>
            <w:vMerge/>
            <w:tcBorders>
              <w:start w:sz="10" w:val="single"/>
              <w:top w:sz="10" w:val="single"/>
              <w:end w:sz="10" w:val="single"/>
              <w:bottom w:sz="10" w:val="single"/>
              <w:insideV w:sz="10" w:val="single"/>
            </w:tcBorders>
          </w:tcP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本项目主要为，保障办公人员数量达到30人，聘用保安及保洁3人，采购设备1台，保障单位工作正常运转，提高工作效率。</w:t>
            </w:r>
          </w:p>
        </w:tc>
        <w:tc>
          <w:tcPr>
            <w:tcW w:type="dxa" w:w="593"/>
            <w:gridSpan w:val="7"/>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截至2025年12月31日，本项目支出资金49万元，资金执行率100%，本项目保障办公人员数量达到32人，聘用保安及保洁3人，采购办公设备1台，项目全面达成了既定目标。通过项目实施，单位保障能力进一步增强，后勤服务体系更加完善，工行运转效率较往年明显提高，绩效成果显著，有效支撑了单位各项工作的正常开展。</w:t>
            </w:r>
          </w:p>
        </w:tc>
      </w:tr>
      <w:tr>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一级指标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二级指标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三级指标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权重</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目标值</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业绩值</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完成率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指标得分</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指标值设定依据</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上年完成情况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赋分规则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佐证资料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偏差原因分析及改进措施</w:t>
            </w:r>
          </w:p>
        </w:tc>
      </w:tr>
      <w:tr>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年度绩效指标完成情况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产出指标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保障办公人员数量</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&gt;=30人</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=29人</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96.67%</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13.75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此项指标已完成，存在偏差，偏差率为3.33%，偏差原因为：本年退休3人，新引硕士研究生5人；下一年度改进措施：按照单位人员编制情况，及时向人社部门申请人才引进计划。</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聘用保安、保洁人员</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&gt;=3人</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=3人</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采购办公设备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7</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=1台</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=1台</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7</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质量指标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设备验收合格率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时效指标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项目完成时间</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2025年12月10日</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=2025年12月10日</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直接赋分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物业管理费</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6</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&lt;=16万元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=16万元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6</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差旅费</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&lt;=15万元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=15万元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其他交通费用</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&lt;=11万元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=11万元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综合业务管理工作经费</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4</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&lt;=7万元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=7万元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4</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社会效益指标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保障单位工作正常运转，提高工作效率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有效保障</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达成年度指标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按评判等级赋分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办公人员满意度</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&gt;=90%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=90.9%</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100.31%</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gridSpan w:val="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总分</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98.75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bl>
    <w:p>
      <w:r>
        <w:br w:type="page"/>
      </w:r>
    </w:p>
    <w:tbl>
      <w:tblPr>
        <w:tblW w:type="pct" w:w="5000"/>
        <w:tblLook w:firstColumn="1" w:firstRow="1" w:lastColumn="0" w:lastRow="0" w:noHBand="0" w:noVBand="1" w:val="04A0"/>
        <w:tblCellMar>
          <w:top w:w="36" w:type="dxa"/>
          <w:left w:w="36" w:type="dxa"/>
          <w:bottom w:w="36" w:type="dxa"/>
          <w:right w:w="36" w:type="dxa"/>
        </w:tblCellMar>
      </w:tblPr>
      <w:tblGrid>
        <w:gridCol w:w="352"/>
        <w:gridCol w:w="493"/>
        <w:gridCol w:w="493"/>
        <w:gridCol w:w="788"/>
        <w:gridCol w:w="560"/>
        <w:gridCol w:w="493"/>
        <w:gridCol w:w="493"/>
        <w:gridCol w:w="493"/>
        <w:gridCol w:w="493"/>
        <w:gridCol w:w="493"/>
        <w:gridCol w:w="493"/>
        <w:gridCol w:w="674"/>
        <w:gridCol w:w="598"/>
        <w:gridCol w:w="1390"/>
      </w:tblGrid>
      <w:tr>
        <w:trPr>
          <w:trHeight w:val="405"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项目支出绩效自评表</w:t>
            </w:r>
          </w:p>
        </w:tc>
      </w:tr>
      <w:tr>
        <w:trPr>
          <w:trHeight w:val="380"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(2025年度)</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项目名称</w:t>
            </w:r>
          </w:p>
        </w:tc>
        <w:tc>
          <w:tcPr>
            <w:tcW w:type="dxa" w:w="593"/>
            <w:gridSpan w:val="1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重大动物疫病防控项目</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主管部门</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昌吉州农业农村局</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实施单位</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昌吉回族自治州动物疾病预防控制中心</w:t>
            </w:r>
          </w:p>
        </w:tc>
      </w:tr>
      <w:tr>
        <w:trPr>
          <w:trHeight w:val="380" w:hRule="atLeast"/>
        </w:trPr>
        <w:tc>
          <w:tcPr>
            <w:tcW w:type="dxa" w:w="593"/>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项目资金
（万元）</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年初预算数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全年执行数</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分值</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执行率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得分</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年度资金总额</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203.10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203.10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203.10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其中：当年财政拨款</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203.10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203.10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203.10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其他资金</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年度总体目标</w:t>
            </w: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预期目标</w:t>
            </w:r>
          </w:p>
        </w:tc>
        <w:tc>
          <w:tcPr>
            <w:tcW w:type="dxa" w:w="593"/>
            <w:gridSpan w:val="7"/>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实际完成情况</w:t>
            </w:r>
          </w:p>
        </w:tc>
      </w:tr>
      <w:tr>
        <w:trPr>
          <w:trHeight w:val="700" w:hRule="atLeast"/>
        </w:trPr>
        <w:tc>
          <w:tcPr>
            <w:tcW w:type="dxa" w:w="593"/>
            <w:vMerge/>
            <w:tcBorders>
              <w:start w:sz="10" w:val="single"/>
              <w:top w:sz="10" w:val="single"/>
              <w:end w:sz="10" w:val="single"/>
              <w:bottom w:sz="10" w:val="single"/>
              <w:insideV w:sz="10" w:val="single"/>
            </w:tcBorders>
          </w:tcP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通过本项目的实施，全年完成重大动物疫病监测2.8万份次、非洲猪瘟监测0.5万份次、人兽共患病监测1.25万份次、渔业疫病监测0.15万份次，确保畜禽群体免疫密度常年维持在90%以上，畜禽群体免疫抗体合格率保持在70%以上；全面保障重大动物疫病和主要人兽共患病免疫、监测和流行病学调查等工作有效开展，提高应对突发疫情的水平和能力，稳步推进动物防疫信息化建设，保障动物防疫无纸化和规模化养殖场“先打后补”信息平台正常运行，按照能够满足应对2-4个II、III级动物疫情处置需求，做好应急物资储备，确保不发生区域性重大动物疫情，保障畜牧业高质量发展。</w:t>
            </w:r>
          </w:p>
        </w:tc>
        <w:tc>
          <w:tcPr>
            <w:tcW w:type="dxa" w:w="593"/>
            <w:gridSpan w:val="7"/>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截至2025年12月31日，本项目支出资金203.1万元，资金执行率100%，本项目实际完成重大动物疫病监测2.9121万份次、非洲猪瘟监测0.8236万份次、人兽共患病监测1.5183万份次、渔业疫病监测0.151万份次，确保畜禽群体免疫密度常年维持在90%以上，畜禽群体免疫抗体合格率保持在70%以上；通过项目实施全面保障重大动物疫病和主要人兽共患病免疫、监测和流行病学调查等工作有效开展，提高应对突发疫情的水平和能力，稳步推进动物防疫信息化建设，保障动物防疫无纸化和规模化养殖场“先打后补”信息平台正常运行，按照能够满足应对2-4个II、III级动物疫情处置需求，做好应急物资储备，确保不发生区域性重大动物疫情，保障畜牧业高质量发展。</w:t>
            </w:r>
          </w:p>
        </w:tc>
      </w:tr>
      <w:tr>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一级指标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二级指标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三级指标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权重</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目标值</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业绩值</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完成率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指标得分</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指标值设定依据</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上年完成情况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赋分规则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佐证资料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偏差原因分析及改进措施</w:t>
            </w:r>
          </w:p>
        </w:tc>
      </w:tr>
      <w:tr>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年度绩效指标完成情况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产出指标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重大动物疫病血清学及病原学监测数量</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&gt;=2.80万份次</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=2.9121万份次</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104%</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7.68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3.31万份次</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结合重大动物疫病防控形势动态调整监测频次，针对我州养殖风险点位、流通环节新增抽样检测。下一年度改进措施：持续优化服务方式，提升便民实效，加强作风建设，精准回应诉求，提升服务质效</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人兽共患病监测</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&gt;=1.25万份次</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=1.5183万份次</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121.46%</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6.28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1.60万份次</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根据区州人兽共患病监测工作部署要求，今年人兽共患病新增监测任务，年初未纳入监测计划，导致监测数量增多。下一年度改进措施：持续优化服务方式，提升便民实效，加强作风建设，精准回应诉求，提升服务质效</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重大动物疫病集中监测采样次数</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&gt;=2次</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=2次</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2次</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渔业疫病监测数量</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&gt;=0.15万份次</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=0.151万份次</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100.67%</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4.97</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0.16万份次</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非洲猪瘟监测数量</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&gt;=0.50万份次</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=0.8236万份次</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164.72%</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1.76</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1.64万份次</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由于今年我州生猪频繁调运，调出数量激增，导致监测数量超出计划数量。下一年度改进措施：持续优化服务方式，提升便民实效，加强作风建设，精准回应诉求，提升服务质效</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质量指标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试剂耗材及防疫物资验收合格率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行业标准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时效指标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项目完成时间</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4</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2025年12月10日</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2025年12月8日</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4</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2024年12月10日</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直接赋分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采购监测试剂耗材、应急物资成本</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&lt;=187.20万元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=187.2万元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＝179.8万元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实验室正常运转，开展监测、防疫体系服务指导工作经费</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&lt;=10.9万元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=10.9万元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＝9.9万元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无纸化防疫信息平台工作经费</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&lt;=5万元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=5万元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＝5万元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社会效益指标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保障畜牧业绿色健康发展</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有效保障</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达成年度指标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有效保障</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按评判等级赋分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生态效益指标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有无大规模随意抛弃病死畜禽事件</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无</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达成年度指标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无</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直接赋分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受益农牧民满意度</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&gt;=90%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=91.67%</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101.86%</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96.88%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此项指标已完成，存在偏差，偏差率为1.86%，偏差原因为：服务及时到位，补贴及时兑现，农牧民认可度提升；下一年度改进措施：持续优化服务方式，提升便民实效，加强作风建设，精准回应诉求，提升服务质效。</w:t>
            </w:r>
          </w:p>
        </w:tc>
      </w:tr>
      <w:tr>
        <w:trPr>
          <w:trHeight w:val="380" w:hRule="atLeast"/>
        </w:trPr>
        <w:tc>
          <w:tcPr>
            <w:tcW w:type="dxa" w:w="593"/>
            <w:gridSpan w:val="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总分</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94.69</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bl>
    <w:p>
      <w:r>
        <w:br w:type="page"/>
      </w:r>
    </w:p>
    <w:p>
      <w:pPr>
        <w:sectPr>
          <w:type w:val="continuous"/>
          <w:pgSz w:w="11906" w:h="16838"/>
          <w:pgMar w:top="1440" w:right="1800" w:bottom="1440" w:left="1800" w:header="851" w:footer="992" w:gutter="0"/>
          <w:cols w:space="720" w:num="1"/>
          <w:docGrid w:type="lines" w:linePitch="312" w:charSpace="0"/>
        </w:sectPr>
      </w:pPr>
    </w:p>
    <w:p>
      <w:pPr>
        <w:spacing w:line="640" w:lineRule="exact"/>
        <w:ind w:firstLine="640"/>
        <w:jc w:val="both"/>
        <w:outlineLvl w:val="2"/>
      </w:pPr>
      <w:r>
        <w:rPr>
          <w:rFonts w:ascii="黑体" w:hAnsi="黑体" w:eastAsia="黑体"/>
          <w:sz w:val="32"/>
        </w:rPr>
        <w:t>十二、其他需说明的事项</w:t>
      </w:r>
    </w:p>
    <w:p>
      <w:pPr>
        <w:spacing w:line="580" w:lineRule="exact"/>
        <w:ind w:firstLine="640"/>
        <w:jc w:val="both"/>
      </w:pPr>
      <w:r>
        <w:rPr>
          <w:rFonts w:ascii="仿宋_GB2312" w:hAnsi="仿宋_GB2312" w:eastAsia="仿宋_GB2312"/>
          <w:b w:val="0"/>
          <w:sz w:val="32"/>
        </w:rPr>
        <w:t>本年本单位其他项目3个，全年预算数33.00万元，全年执行数33.00万元。</w:t>
      </w:r>
    </w:p>
    <w:p>
      <w:r>
        <w:br w:type="page"/>
      </w:r>
    </w:p>
    <w:p>
      <w:pPr>
        <w:spacing w:lineRule="exact" w:line="600"/>
        <w:jc w:val="center"/>
        <w:outlineLvl w:val="0"/>
      </w:pPr>
      <w:r>
        <w:rPr>
          <w:rFonts w:ascii="黑体" w:hAnsi="黑体" w:eastAsia="黑体"/>
          <w:sz w:val="32"/>
        </w:rPr>
        <w:t>第三部分 专业名词解释</w:t>
      </w:r>
    </w:p>
    <w:p>
      <w:pPr>
        <w:spacing w:lineRule="exact" w:line="600"/>
        <w:ind w:firstLine="643" w:firstLineChars="200"/>
        <w:autoSpaceDE w:val="0"/>
        <w:autoSpaceDN w:val="0"/>
      </w:pPr>
      <w:r>
        <w:rPr>
          <w:rFonts w:ascii="仿宋_GB2312" w:hAnsi="仿宋_GB2312" w:eastAsia="仿宋_GB2312"/>
          <w:b/>
          <w:sz w:val="32"/>
        </w:rPr>
        <w:t>一、财政拨款收入：</w:t>
      </w:r>
      <w:r>
        <w:rPr>
          <w:rFonts w:ascii="仿宋_GB2312" w:hAnsi="仿宋_GB2312" w:eastAsia="仿宋_GB2312"/>
          <w:b w:val="0"/>
          <w:sz w:val="32"/>
        </w:rPr>
        <w:t>指单位本年度从同级财政部门取得的财政拨款，包括一般公共预算财政拨款、政府性基金预算财政拨款和国有资本经营预算财政拨款。</w:t>
      </w:r>
    </w:p>
    <w:p>
      <w:pPr>
        <w:spacing w:lineRule="exact" w:line="600"/>
        <w:ind w:firstLine="643" w:firstLineChars="200"/>
        <w:autoSpaceDE w:val="0"/>
        <w:autoSpaceDN w:val="0"/>
      </w:pPr>
      <w:r>
        <w:rPr>
          <w:rFonts w:ascii="仿宋_GB2312" w:hAnsi="仿宋_GB2312" w:eastAsia="仿宋_GB2312"/>
          <w:b/>
          <w:sz w:val="32"/>
        </w:rPr>
        <w:t>二、上级补助收入：</w:t>
      </w:r>
      <w:r>
        <w:rPr>
          <w:rFonts w:ascii="仿宋_GB2312" w:hAnsi="仿宋_GB2312" w:eastAsia="仿宋_GB2312"/>
          <w:b w:val="0"/>
          <w:sz w:val="32"/>
        </w:rPr>
        <w:t>指事业单位从主管部门和上级单位取得的非财政补助收入。</w:t>
      </w:r>
    </w:p>
    <w:p>
      <w:pPr>
        <w:spacing w:lineRule="exact" w:line="600"/>
        <w:ind w:firstLine="643" w:firstLineChars="200"/>
        <w:autoSpaceDE w:val="0"/>
        <w:autoSpaceDN w:val="0"/>
      </w:pPr>
      <w:r>
        <w:rPr>
          <w:rFonts w:ascii="仿宋_GB2312" w:hAnsi="仿宋_GB2312" w:eastAsia="仿宋_GB2312"/>
          <w:b/>
          <w:sz w:val="32"/>
        </w:rPr>
        <w:t>三、事业收入：</w:t>
      </w:r>
      <w:r>
        <w:rPr>
          <w:rFonts w:ascii="仿宋_GB2312" w:hAnsi="仿宋_GB2312" w:eastAsia="仿宋_GB2312"/>
          <w:b w:val="0"/>
          <w:sz w:val="32"/>
        </w:rPr>
        <w:t>指事业单位开展专业业务活动及其辅助活动取得的收入。</w:t>
      </w:r>
    </w:p>
    <w:p>
      <w:pPr>
        <w:spacing w:lineRule="exact" w:line="600"/>
        <w:ind w:firstLine="643" w:firstLineChars="200"/>
        <w:autoSpaceDE w:val="0"/>
        <w:autoSpaceDN w:val="0"/>
      </w:pPr>
      <w:r>
        <w:rPr>
          <w:rFonts w:ascii="仿宋_GB2312" w:hAnsi="仿宋_GB2312" w:eastAsia="仿宋_GB2312"/>
          <w:b/>
          <w:sz w:val="32"/>
        </w:rPr>
        <w:t>四、经营收入：</w:t>
      </w:r>
      <w:r>
        <w:rPr>
          <w:rFonts w:ascii="仿宋_GB2312" w:hAnsi="仿宋_GB2312" w:eastAsia="仿宋_GB2312"/>
          <w:b w:val="0"/>
          <w:sz w:val="32"/>
        </w:rPr>
        <w:t>指事业单位在专业业务活动及其辅助活动之外开展非独立核算经营活动取得的收入。</w:t>
      </w:r>
    </w:p>
    <w:p>
      <w:pPr>
        <w:spacing w:lineRule="exact" w:line="600"/>
        <w:ind w:firstLine="643" w:firstLineChars="200"/>
        <w:autoSpaceDE w:val="0"/>
        <w:autoSpaceDN w:val="0"/>
      </w:pPr>
      <w:r>
        <w:rPr>
          <w:rFonts w:ascii="仿宋_GB2312" w:hAnsi="仿宋_GB2312" w:eastAsia="仿宋_GB2312"/>
          <w:b/>
          <w:sz w:val="32"/>
        </w:rPr>
        <w:t>五、附属单位上缴收入：</w:t>
      </w:r>
      <w:r>
        <w:rPr>
          <w:rFonts w:ascii="仿宋_GB2312" w:hAnsi="仿宋_GB2312" w:eastAsia="仿宋_GB2312"/>
          <w:b w:val="0"/>
          <w:sz w:val="32"/>
        </w:rPr>
        <w:t>指事业单位附属独立核算单位按照有关规定上缴的收入。</w:t>
      </w:r>
    </w:p>
    <w:p>
      <w:pPr>
        <w:spacing w:lineRule="exact" w:line="600"/>
        <w:ind w:firstLine="643" w:firstLineChars="200"/>
        <w:autoSpaceDE w:val="0"/>
        <w:autoSpaceDN w:val="0"/>
      </w:pPr>
      <w:r>
        <w:rPr>
          <w:rFonts w:ascii="仿宋_GB2312" w:hAnsi="仿宋_GB2312" w:eastAsia="仿宋_GB2312"/>
          <w:b/>
          <w:sz w:val="32"/>
        </w:rPr>
        <w:t>六、其他收入：</w:t>
      </w:r>
      <w:r>
        <w:rPr>
          <w:rFonts w:ascii="仿宋_GB2312" w:hAnsi="仿宋_GB2312" w:eastAsia="仿宋_GB2312"/>
          <w:b w:val="0"/>
          <w:sz w:val="32"/>
        </w:rPr>
        <w:t>指单位取得的除上述“财政拨款收入”“上级补助收入”“事业收入”“经营收入”“附属单位上缴收入”以外的各项收入。</w:t>
      </w:r>
    </w:p>
    <w:p>
      <w:pPr>
        <w:spacing w:lineRule="exact" w:line="600"/>
        <w:ind w:firstLine="643" w:firstLineChars="200"/>
        <w:autoSpaceDE w:val="0"/>
        <w:autoSpaceDN w:val="0"/>
      </w:pPr>
      <w:r>
        <w:rPr>
          <w:rFonts w:ascii="仿宋_GB2312" w:hAnsi="仿宋_GB2312" w:eastAsia="仿宋_GB2312"/>
          <w:b/>
          <w:sz w:val="32"/>
        </w:rPr>
        <w:t>七、年初结转和结余：</w:t>
      </w:r>
      <w:r>
        <w:rPr>
          <w:rFonts w:ascii="仿宋_GB2312" w:hAnsi="仿宋_GB2312" w:eastAsia="仿宋_GB2312"/>
          <w:b w:val="0"/>
          <w:sz w:val="32"/>
        </w:rPr>
        <w:t>指单位上年结转本年使用的基本支出结转、项目支出结转和结余、经营结余。</w:t>
      </w:r>
    </w:p>
    <w:p>
      <w:pPr>
        <w:spacing w:lineRule="exact" w:line="600"/>
        <w:ind w:firstLine="643" w:firstLineChars="200"/>
        <w:autoSpaceDE w:val="0"/>
        <w:autoSpaceDN w:val="0"/>
      </w:pPr>
      <w:r>
        <w:rPr>
          <w:rFonts w:ascii="仿宋_GB2312" w:hAnsi="仿宋_GB2312" w:eastAsia="仿宋_GB2312"/>
          <w:b/>
          <w:sz w:val="32"/>
        </w:rPr>
        <w:t>八、使用非财政拨款结余（含专用结余）：</w:t>
      </w:r>
      <w:r>
        <w:rPr>
          <w:rFonts w:ascii="仿宋_GB2312" w:hAnsi="仿宋_GB2312" w:eastAsia="仿宋_GB2312"/>
          <w:b w:val="0"/>
          <w:sz w:val="32"/>
        </w:rPr>
        <w:t>指单位按照预算管理要求使用非财政拨款结余弥补收支差额的金额，以及使用专用结余安排支出的金额。</w:t>
      </w:r>
    </w:p>
    <w:p>
      <w:pPr>
        <w:spacing w:lineRule="exact" w:line="600"/>
        <w:ind w:firstLine="643" w:firstLineChars="200"/>
        <w:autoSpaceDE w:val="0"/>
        <w:autoSpaceDN w:val="0"/>
      </w:pPr>
      <w:r>
        <w:rPr>
          <w:rFonts w:ascii="仿宋_GB2312" w:hAnsi="仿宋_GB2312" w:eastAsia="仿宋_GB2312"/>
          <w:b/>
          <w:sz w:val="32"/>
        </w:rPr>
        <w:t>九、结余分配：</w:t>
      </w:r>
      <w:r>
        <w:rPr>
          <w:rFonts w:ascii="仿宋_GB2312" w:hAnsi="仿宋_GB2312" w:eastAsia="仿宋_GB2312"/>
          <w:b w:val="0"/>
          <w:sz w:val="32"/>
        </w:rPr>
        <w:t>指单位缴纳企业所得税以及从非财政拨款结余或经营结余中提取各类结余的情况。</w:t>
      </w:r>
    </w:p>
    <w:p>
      <w:pPr>
        <w:spacing w:lineRule="exact" w:line="600"/>
        <w:ind w:firstLine="643" w:firstLineChars="200"/>
        <w:autoSpaceDE w:val="0"/>
        <w:autoSpaceDN w:val="0"/>
      </w:pPr>
      <w:r>
        <w:rPr>
          <w:rFonts w:ascii="仿宋_GB2312" w:hAnsi="仿宋_GB2312" w:eastAsia="仿宋_GB2312"/>
          <w:b/>
          <w:sz w:val="32"/>
        </w:rPr>
        <w:t>十、年末结转和结余：</w:t>
      </w:r>
      <w:r>
        <w:rPr>
          <w:rFonts w:ascii="仿宋_GB2312" w:hAnsi="仿宋_GB2312" w:eastAsia="仿宋_GB2312"/>
          <w:b w:val="0"/>
          <w:sz w:val="32"/>
        </w:rPr>
        <w:t>指单位结转下年的基本支出结转、项目支出结转和结余、经营结余。</w:t>
      </w:r>
    </w:p>
    <w:p>
      <w:pPr>
        <w:spacing w:lineRule="exact" w:line="600"/>
        <w:ind w:firstLine="643" w:firstLineChars="200"/>
        <w:autoSpaceDE w:val="0"/>
        <w:autoSpaceDN w:val="0"/>
      </w:pPr>
      <w:r>
        <w:rPr>
          <w:rFonts w:ascii="仿宋_GB2312" w:hAnsi="仿宋_GB2312" w:eastAsia="仿宋_GB2312"/>
          <w:b/>
          <w:sz w:val="32"/>
        </w:rPr>
        <w:t>十一、基本支出：</w:t>
      </w:r>
      <w:r>
        <w:rPr>
          <w:rFonts w:ascii="仿宋_GB2312" w:hAnsi="仿宋_GB2312" w:eastAsia="仿宋_GB2312"/>
          <w:b w:val="0"/>
          <w:sz w:val="32"/>
        </w:rPr>
        <w:t>指单位为保障机构正常运转、完成日常工作任务而发生的各项支出。</w:t>
      </w:r>
    </w:p>
    <w:p>
      <w:pPr>
        <w:spacing w:lineRule="exact" w:line="600"/>
        <w:ind w:firstLine="643" w:firstLineChars="200"/>
        <w:autoSpaceDE w:val="0"/>
        <w:autoSpaceDN w:val="0"/>
      </w:pPr>
      <w:r>
        <w:rPr>
          <w:rFonts w:ascii="仿宋_GB2312" w:hAnsi="仿宋_GB2312" w:eastAsia="仿宋_GB2312"/>
          <w:b/>
          <w:sz w:val="32"/>
        </w:rPr>
        <w:t>十二、项目支出：</w:t>
      </w:r>
      <w:r>
        <w:rPr>
          <w:rFonts w:ascii="仿宋_GB2312" w:hAnsi="仿宋_GB2312" w:eastAsia="仿宋_GB2312"/>
          <w:b w:val="0"/>
          <w:sz w:val="32"/>
        </w:rPr>
        <w:t>指单位为完成特定的行政工作任务或事业发展目标，在基本支出之外发生的各项支出。</w:t>
      </w:r>
    </w:p>
    <w:p>
      <w:pPr>
        <w:spacing w:lineRule="exact" w:line="600"/>
        <w:ind w:firstLine="643" w:firstLineChars="200"/>
        <w:autoSpaceDE w:val="0"/>
        <w:autoSpaceDN w:val="0"/>
      </w:pPr>
      <w:r>
        <w:rPr>
          <w:rFonts w:ascii="仿宋_GB2312" w:hAnsi="仿宋_GB2312" w:eastAsia="仿宋_GB2312"/>
          <w:b/>
          <w:sz w:val="32"/>
        </w:rPr>
        <w:t>十三、上缴上级支出：</w:t>
      </w:r>
      <w:r>
        <w:rPr>
          <w:rFonts w:ascii="仿宋_GB2312" w:hAnsi="仿宋_GB2312" w:eastAsia="仿宋_GB2312"/>
          <w:b w:val="0"/>
          <w:sz w:val="32"/>
        </w:rPr>
        <w:t>指事业单位按照财政部门和主管部门的规定上缴上级单位的支出。</w:t>
      </w:r>
    </w:p>
    <w:p>
      <w:pPr>
        <w:spacing w:lineRule="exact" w:line="600"/>
        <w:ind w:firstLine="643" w:firstLineChars="200"/>
        <w:autoSpaceDE w:val="0"/>
        <w:autoSpaceDN w:val="0"/>
      </w:pPr>
      <w:r>
        <w:rPr>
          <w:rFonts w:ascii="仿宋_GB2312" w:hAnsi="仿宋_GB2312" w:eastAsia="仿宋_GB2312"/>
          <w:b/>
          <w:sz w:val="32"/>
        </w:rPr>
        <w:t>十四、经营支出：</w:t>
      </w:r>
      <w:r>
        <w:rPr>
          <w:rFonts w:ascii="仿宋_GB2312" w:hAnsi="仿宋_GB2312" w:eastAsia="仿宋_GB2312"/>
          <w:b w:val="0"/>
          <w:sz w:val="32"/>
        </w:rPr>
        <w:t>指事业单位在专业活动及辅助活动之外开展非独立核算经营活动发生的支出。</w:t>
      </w:r>
    </w:p>
    <w:p>
      <w:pPr>
        <w:spacing w:lineRule="exact" w:line="600"/>
        <w:ind w:firstLine="643" w:firstLineChars="200"/>
        <w:autoSpaceDE w:val="0"/>
        <w:autoSpaceDN w:val="0"/>
      </w:pPr>
      <w:r>
        <w:rPr>
          <w:rFonts w:ascii="仿宋_GB2312" w:hAnsi="仿宋_GB2312" w:eastAsia="仿宋_GB2312"/>
          <w:b/>
          <w:sz w:val="32"/>
        </w:rPr>
        <w:t>十五、对附属单位补助支出：</w:t>
      </w:r>
      <w:r>
        <w:rPr>
          <w:rFonts w:ascii="仿宋_GB2312" w:hAnsi="仿宋_GB2312" w:eastAsia="仿宋_GB2312"/>
          <w:b w:val="0"/>
          <w:sz w:val="32"/>
        </w:rPr>
        <w:t>指事业单位用财政补助收入之外的收入对附属单位补助发生的支出。</w:t>
      </w:r>
    </w:p>
    <w:p>
      <w:pPr>
        <w:spacing w:lineRule="exact" w:line="600"/>
        <w:ind w:firstLine="643" w:firstLineChars="200"/>
        <w:autoSpaceDE w:val="0"/>
        <w:autoSpaceDN w:val="0"/>
      </w:pPr>
      <w:r>
        <w:rPr>
          <w:rFonts w:ascii="仿宋_GB2312" w:hAnsi="仿宋_GB2312" w:eastAsia="仿宋_GB2312"/>
          <w:b/>
          <w:sz w:val="32"/>
        </w:rPr>
        <w:t>十六、“三公”经费：</w:t>
      </w:r>
      <w:r>
        <w:rPr>
          <w:rFonts w:ascii="仿宋_GB2312" w:hAnsi="仿宋_GB2312" w:eastAsia="仿宋_GB2312"/>
          <w:b w:val="0"/>
          <w:sz w:val="32"/>
        </w:rPr>
        <w:t>指单位使用财政拨款安排的因公出国（境）费用、公务用车购置及运行维护费和公务接待费。其中，因公出国（境）费用反映单位公务出国（境）的国际旅费、国外城市间交通费、住宿费、伙食费、培训费、公杂费等支出；公务用车购置费反映公务用车购置支出（含车辆购置税、牌照费）；公务用车运行维护费反映单位按规定保留的公务用车燃料费、新能源汽车充电费、维修费、过路过桥费、保险费、安全奖励费用等支出；公务接待费反映单位按规定开支的各类公务接待（含外宾接待）费用。</w:t>
      </w:r>
    </w:p>
    <w:p>
      <w:pPr>
        <w:spacing w:lineRule="exact" w:line="600"/>
        <w:ind w:firstLine="643" w:firstLineChars="200"/>
        <w:autoSpaceDE w:val="0"/>
        <w:autoSpaceDN w:val="0"/>
      </w:pPr>
      <w:r>
        <w:rPr>
          <w:rFonts w:ascii="仿宋_GB2312" w:hAnsi="仿宋_GB2312" w:eastAsia="仿宋_GB2312"/>
          <w:b/>
          <w:sz w:val="32"/>
        </w:rPr>
        <w:t>十七、机关运行经费：</w:t>
      </w:r>
      <w:r>
        <w:rPr>
          <w:rFonts w:ascii="仿宋_GB2312" w:hAnsi="仿宋_GB2312" w:eastAsia="仿宋_GB2312"/>
          <w:b w:val="0"/>
          <w:sz w:val="32"/>
        </w:rPr>
        <w:t>指行政单位和参照公务员法管理的事业单位财政拨款基本支出中的公用经费支出。</w:t>
      </w:r>
    </w:p>
    <w:p>
      <w:r>
        <w:br w:type="page"/>
      </w:r>
    </w:p>
    <w:p>
      <w:pPr>
        <w:spacing w:line="240" w:lineRule="auto"/>
        <w:jc w:val="center"/>
        <w:outlineLvl w:val="1"/>
      </w:pPr>
      <w:r>
        <w:rPr>
          <w:rFonts w:ascii="黑体" w:hAnsi="黑体" w:eastAsia="黑体"/>
          <w:sz w:val="32"/>
        </w:rPr>
        <w:t>第四部分 部门决算报表（见附表）</w:t>
      </w:r>
    </w:p>
    <w:p>
      <w:pPr>
        <w:spacing w:lineRule="exact" w:line="600"/>
        <w:ind w:firstLine="643" w:firstLineChars="200"/>
        <w:autoSpaceDE w:val="0"/>
        <w:autoSpaceDN w:val="0"/>
      </w:pPr>
      <w:r>
        <w:rPr>
          <w:rFonts w:ascii="仿宋_GB2312" w:hAnsi="仿宋_GB2312" w:eastAsia="仿宋_GB2312"/>
          <w:b w:val="0"/>
          <w:sz w:val="32"/>
        </w:rPr>
        <w:t>一、《收入支出决算总表》</w:t>
      </w:r>
    </w:p>
    <w:p>
      <w:pPr>
        <w:spacing w:lineRule="exact" w:line="600"/>
        <w:ind w:firstLine="643" w:firstLineChars="200"/>
        <w:autoSpaceDE w:val="0"/>
        <w:autoSpaceDN w:val="0"/>
      </w:pPr>
      <w:r>
        <w:rPr>
          <w:rFonts w:ascii="仿宋_GB2312" w:hAnsi="仿宋_GB2312" w:eastAsia="仿宋_GB2312"/>
          <w:b w:val="0"/>
          <w:sz w:val="32"/>
        </w:rPr>
        <w:t>二、《收入决算表》</w:t>
      </w:r>
    </w:p>
    <w:p>
      <w:pPr>
        <w:spacing w:lineRule="exact" w:line="600"/>
        <w:ind w:firstLine="643" w:firstLineChars="200"/>
        <w:autoSpaceDE w:val="0"/>
        <w:autoSpaceDN w:val="0"/>
      </w:pPr>
      <w:r>
        <w:rPr>
          <w:rFonts w:ascii="仿宋_GB2312" w:hAnsi="仿宋_GB2312" w:eastAsia="仿宋_GB2312"/>
          <w:b w:val="0"/>
          <w:sz w:val="32"/>
        </w:rPr>
        <w:t>三、《支出决算表》</w:t>
      </w:r>
    </w:p>
    <w:p>
      <w:pPr>
        <w:spacing w:lineRule="exact" w:line="600"/>
        <w:ind w:firstLine="643" w:firstLineChars="200"/>
        <w:autoSpaceDE w:val="0"/>
        <w:autoSpaceDN w:val="0"/>
      </w:pPr>
      <w:r>
        <w:rPr>
          <w:rFonts w:ascii="仿宋_GB2312" w:hAnsi="仿宋_GB2312" w:eastAsia="仿宋_GB2312"/>
          <w:b w:val="0"/>
          <w:sz w:val="32"/>
        </w:rPr>
        <w:t>四、《财政拨款收入支出决算总表》</w:t>
      </w:r>
    </w:p>
    <w:p>
      <w:pPr>
        <w:spacing w:lineRule="exact" w:line="600"/>
        <w:ind w:firstLine="643" w:firstLineChars="200"/>
        <w:autoSpaceDE w:val="0"/>
        <w:autoSpaceDN w:val="0"/>
      </w:pPr>
      <w:r>
        <w:rPr>
          <w:rFonts w:ascii="仿宋_GB2312" w:hAnsi="仿宋_GB2312" w:eastAsia="仿宋_GB2312"/>
          <w:b w:val="0"/>
          <w:sz w:val="32"/>
        </w:rPr>
        <w:t>五、《一般公共预算财政拨款支出决算表》</w:t>
      </w:r>
    </w:p>
    <w:p>
      <w:pPr>
        <w:spacing w:lineRule="exact" w:line="600"/>
        <w:ind w:firstLine="643" w:firstLineChars="200"/>
        <w:autoSpaceDE w:val="0"/>
        <w:autoSpaceDN w:val="0"/>
      </w:pPr>
      <w:r>
        <w:rPr>
          <w:rFonts w:ascii="仿宋_GB2312" w:hAnsi="仿宋_GB2312" w:eastAsia="仿宋_GB2312"/>
          <w:b w:val="0"/>
          <w:sz w:val="32"/>
        </w:rPr>
        <w:t>六、《一般公共预算财政拨款基本支出决算表》</w:t>
      </w:r>
    </w:p>
    <w:p>
      <w:pPr>
        <w:spacing w:lineRule="exact" w:line="600"/>
        <w:ind w:firstLine="643" w:firstLineChars="200"/>
        <w:autoSpaceDE w:val="0"/>
        <w:autoSpaceDN w:val="0"/>
      </w:pPr>
      <w:r>
        <w:rPr>
          <w:rFonts w:ascii="仿宋_GB2312" w:hAnsi="仿宋_GB2312" w:eastAsia="仿宋_GB2312"/>
          <w:b w:val="0"/>
          <w:sz w:val="32"/>
        </w:rPr>
        <w:t>七、《政府性基金预算财政拨款收入支出决算表》</w:t>
      </w:r>
    </w:p>
    <w:p>
      <w:pPr>
        <w:spacing w:lineRule="exact" w:line="600"/>
        <w:ind w:firstLine="643" w:firstLineChars="200"/>
        <w:autoSpaceDE w:val="0"/>
        <w:autoSpaceDN w:val="0"/>
      </w:pPr>
      <w:r>
        <w:rPr>
          <w:rFonts w:ascii="仿宋_GB2312" w:hAnsi="仿宋_GB2312" w:eastAsia="仿宋_GB2312"/>
          <w:b w:val="0"/>
          <w:sz w:val="32"/>
        </w:rPr>
        <w:t>八、《国有资本经营预算财政拨款收入支出决算表》</w:t>
      </w:r>
    </w:p>
    <w:p>
      <w:pPr>
        <w:spacing w:lineRule="exact" w:line="600"/>
        <w:ind w:firstLine="643" w:firstLineChars="200"/>
        <w:autoSpaceDE w:val="0"/>
        <w:autoSpaceDN w:val="0"/>
      </w:pPr>
      <w:r>
        <w:rPr>
          <w:rFonts w:ascii="仿宋_GB2312" w:hAnsi="仿宋_GB2312" w:eastAsia="仿宋_GB2312"/>
          <w:b w:val="0"/>
          <w:sz w:val="32"/>
        </w:rPr>
        <w:t>九、《财政拨款“三公”经费支出决算表》</w:t>
      </w:r>
    </w:p>
    <w:p>
      <w:pPr>
        <w:spacing w:lineRule="exact" w:line="600"/>
        <w:ind w:firstLine="643" w:firstLineChars="200"/>
        <w:autoSpaceDE w:val="0"/>
        <w:autoSpaceDN w:val="0"/>
      </w:pPr>
    </w:p>
    <w:p>
      <w:pPr>
        <w:spacing w:lineRule="exact" w:line="600"/>
        <w:ind w:firstLine="643" w:firstLineChars="200"/>
        <w:autoSpaceDE w:val="0"/>
        <w:autoSpaceDN w:val="0"/>
      </w:pPr>
    </w:p>
    <w:p>
      <w:pPr>
        <w:spacing w:lineRule="exact" w:line="600"/>
        <w:ind w:firstLine="643" w:firstLineChars="200"/>
        <w:autoSpaceDE w:val="0"/>
        <w:autoSpaceDN w:val="0"/>
      </w:pPr>
    </w:p>
    <w:p>
      <w:pPr>
        <w:spacing w:lineRule="exact" w:line="600"/>
        <w:ind w:firstLine="643" w:firstLineChars="200"/>
        <w:autoSpaceDE w:val="0"/>
        <w:autoSpaceDN w:val="0"/>
      </w:pPr>
    </w:p>
    <w:p>
      <w:pPr>
        <w:spacing w:lineRule="exact" w:line="600"/>
        <w:ind w:firstLine="643" w:firstLineChars="200"/>
        <w:autoSpaceDE w:val="0"/>
        <w:autoSpaceDN w:val="0"/>
      </w:pPr>
    </w:p>
    <w:sectPr>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EA382358-5FB0-4BFB-AA9D-340FD89383CE}"/>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小标宋_GBK">
    <w:altName w:val="微软雅黑"/>
    <w:panose1 w:val="00000000000000000000"/>
    <w:charset w:val="86"/>
    <w:family w:val="script"/>
    <w:pitch w:val="default"/>
    <w:sig w:usb0="00000000" w:usb1="00000000" w:usb2="00082016" w:usb3="00000000" w:csb0="00040001" w:csb1="00000000"/>
    <w:embedRegular r:id="rId2" w:fontKey="{B0E6D792-6E8F-4F84-99FA-9970FA3A7C22}"/>
  </w:font>
  <w:font w:name="仿宋_GB2312">
    <w:altName w:val="微软雅黑"/>
    <w:panose1 w:val="02010609030101010101"/>
    <w:charset w:val="86"/>
    <w:family w:val="modern"/>
    <w:pitch w:val="default"/>
    <w:sig w:usb0="00000001" w:usb1="080E0000" w:usb2="00000000" w:usb3="00000000" w:csb0="00040000" w:csb1="00000000"/>
    <w:embedRegular r:id="rId3" w:fontKey="{45C515A8-30E2-40B7-BB08-E73601327DDD}"/>
  </w:font>
  <w:font w:name="微软雅黑">
    <w:panose1 w:val="020B0503020204020204"/>
    <w:charset w:val="86"/>
    <w:family w:val="auto"/>
    <w:pitch w:val="default"/>
    <w:sig w:usb0="80000287" w:usb1="2ACF3C50" w:usb2="00000016" w:usb3="00000000" w:csb0="0004001F" w:csb1="00000000"/>
  </w:font>
  <w:font w:name="KSOF8080F95D">
    <w:panose1 w:val="020B0503020204020204"/>
    <w:charset w:val="86"/>
    <w:family w:val="auto"/>
    <w:pitch w:val="default"/>
    <w:sig w:usb0="00000001" w:usb1="00000000" w:usb2="00000000" w:usb3="00000000" w:csb0="00040001" w:csb1="00000000"/>
  </w:font>
  <w:font w:name="WPSEMBED2">
    <w:panose1 w:val="02010609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81994FD">
    <w:pPr>
      <w:pStyle w:val="4"/>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106890CC">
                          <w:pPr>
                            <w:pStyle w:val="4"/>
                          </w:pPr>
                          <w:r>
                            <w:rPr>
                              <w:rFonts w:hint="eastAsia"/>
                            </w:rPr>
                            <w:fldChar w:fldCharType="begin"/>
                          </w:r>
                          <w:r>
                            <w:rPr>
                              <w:rFonts w:hint="eastAsia"/>
                            </w:rPr>
                            <w:instrText xml:space="preserve"> PAGE  \* MERGEFORMAT </w:instrText>
                          </w:r>
                          <w:r>
                            <w:rPr>
                              <w:rFonts w:hint="eastAsia"/>
                            </w:rPr>
                            <w:fldChar w:fldCharType="separate"/>
                          </w:r>
                          <w:r>
                            <w:rPr>
                              <w:rFonts w:hint="eastAsia"/>
                            </w:rPr>
                            <w:t>1</w:t>
                          </w:r>
                          <w:r>
                            <w:rPr>
                              <w:rFonts w:hint="eastAsia"/>
                            </w:rPr>
                            <w:fldChar w:fldCharType="end"/>
                          </w:r>
                        </w:p>
                      </w:txbxContent>
                    </wps:txbx>
                    <wps:bodyPr vert="horz" wrap="none" lIns="0" tIns="0" rIns="0" bIns="0" anchor="t" anchorCtr="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">
              <v:fill on="f" focussize="0,0"/>
              <v:stroke on="f"/>
              <v:imagedata o:title=""/>
              <o:lock v:ext="edit" aspectratio="f"/>
              <v:textbox inset="0mm,0mm,0mm,0mm" style="mso-fit-shape-to-text:t;">
                <w:txbxContent>
                  <w:p w14:paraId="106890CC">
                    <w:pPr>
                      <w:pStyle w:val="4"/>
                    </w:pPr>
                    <w:r>
                      <w:rPr>
                        <w:rFonts w:hint="eastAsia"/>
                      </w:rPr>
                      <w:fldChar w:fldCharType="begin"/>
                    </w:r>
                    <w:r>
                      <w:rPr>
                        <w:rFonts w:hint="eastAsia"/>
                      </w:rPr>
                      <w:instrText xml:space="preserve"> PAGE  \* MERGEFORMAT </w:instrText>
                    </w:r>
                    <w:r>
                      <w:rPr>
                        <w:rFonts w:hint="eastAsia"/>
                      </w:rPr>
                      <w:fldChar w:fldCharType="separate"/>
                    </w:r>
                    <w:r>
                      <w:rPr>
                        <w:rFonts w:hint="eastAsia"/>
                      </w:rPr>
                      <w:t>1</w:t>
                    </w:r>
                    <w:r>
                      <w:rPr>
                        <w:rFonts w:hint="eastAsia"/>
                      </w:rP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TrueTypeFonts/>
  <w:saveSubsetFonts/>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DAwYmRmZTlkODBlYWI2MWEzOGMyNWRlOTFmY2QzMTQifQ=="/>
  </w:docVars>
  <w:rsids>
    <w:rsidRoot w:val="00672051"/>
    <w:rsid w:val="000D14C6"/>
    <w:rsid w:val="002D017C"/>
    <w:rsid w:val="0039186B"/>
    <w:rsid w:val="00644722"/>
    <w:rsid w:val="00672051"/>
    <w:rsid w:val="006B29E4"/>
    <w:rsid w:val="00702FBA"/>
    <w:rsid w:val="00982448"/>
    <w:rsid w:val="009D5C6A"/>
    <w:rsid w:val="00A22425"/>
    <w:rsid w:val="00D34B7C"/>
    <w:rsid w:val="00F14B19"/>
    <w:rsid w:val="02F73D26"/>
    <w:rsid w:val="034D4FEF"/>
    <w:rsid w:val="03DE0026"/>
    <w:rsid w:val="03E2747C"/>
    <w:rsid w:val="043E5B56"/>
    <w:rsid w:val="04EF7C1A"/>
    <w:rsid w:val="06792773"/>
    <w:rsid w:val="06896151"/>
    <w:rsid w:val="09A729D8"/>
    <w:rsid w:val="0A7B4867"/>
    <w:rsid w:val="0AC260D6"/>
    <w:rsid w:val="0B8C3ECC"/>
    <w:rsid w:val="0BC24C29"/>
    <w:rsid w:val="0C3613A3"/>
    <w:rsid w:val="0C7227A7"/>
    <w:rsid w:val="0DCA6EF7"/>
    <w:rsid w:val="0E4B1576"/>
    <w:rsid w:val="11E15093"/>
    <w:rsid w:val="120E0809"/>
    <w:rsid w:val="181A30AD"/>
    <w:rsid w:val="1875698D"/>
    <w:rsid w:val="19071D6C"/>
    <w:rsid w:val="1C317E4F"/>
    <w:rsid w:val="1C472464"/>
    <w:rsid w:val="1DAF458D"/>
    <w:rsid w:val="1E086ACE"/>
    <w:rsid w:val="1EAA4A5F"/>
    <w:rsid w:val="1F040613"/>
    <w:rsid w:val="1F587A0B"/>
    <w:rsid w:val="1FE96E5D"/>
    <w:rsid w:val="2064678E"/>
    <w:rsid w:val="20DD6197"/>
    <w:rsid w:val="21F317F2"/>
    <w:rsid w:val="2241392C"/>
    <w:rsid w:val="23BC04D2"/>
    <w:rsid w:val="25275618"/>
    <w:rsid w:val="27CF2642"/>
    <w:rsid w:val="282459E2"/>
    <w:rsid w:val="2A053397"/>
    <w:rsid w:val="2A444FB1"/>
    <w:rsid w:val="2A6064E2"/>
    <w:rsid w:val="2BA9200B"/>
    <w:rsid w:val="2D1136DF"/>
    <w:rsid w:val="2DAE0E44"/>
    <w:rsid w:val="2EB07E70"/>
    <w:rsid w:val="2F9E416C"/>
    <w:rsid w:val="2FD27414"/>
    <w:rsid w:val="313F1D52"/>
    <w:rsid w:val="318029AB"/>
    <w:rsid w:val="319D6C1C"/>
    <w:rsid w:val="31C63837"/>
    <w:rsid w:val="326F0A17"/>
    <w:rsid w:val="34623382"/>
    <w:rsid w:val="390019F4"/>
    <w:rsid w:val="3914510A"/>
    <w:rsid w:val="3B1220C9"/>
    <w:rsid w:val="3D5275AC"/>
    <w:rsid w:val="3D55093B"/>
    <w:rsid w:val="3EA7725F"/>
    <w:rsid w:val="40834692"/>
    <w:rsid w:val="423A32B2"/>
    <w:rsid w:val="464B7E04"/>
    <w:rsid w:val="46901EEE"/>
    <w:rsid w:val="469C74D2"/>
    <w:rsid w:val="47445515"/>
    <w:rsid w:val="48E21116"/>
    <w:rsid w:val="49C97D5C"/>
    <w:rsid w:val="49F5131D"/>
    <w:rsid w:val="4AE426AE"/>
    <w:rsid w:val="4B4C0111"/>
    <w:rsid w:val="4D3F1CC6"/>
    <w:rsid w:val="4D730311"/>
    <w:rsid w:val="505A358E"/>
    <w:rsid w:val="50DB5F45"/>
    <w:rsid w:val="52F92565"/>
    <w:rsid w:val="55DA564E"/>
    <w:rsid w:val="56E07045"/>
    <w:rsid w:val="583059FA"/>
    <w:rsid w:val="587E6212"/>
    <w:rsid w:val="58D10A34"/>
    <w:rsid w:val="59973ABF"/>
    <w:rsid w:val="5A74678C"/>
    <w:rsid w:val="5AFC6609"/>
    <w:rsid w:val="5C3B09A8"/>
    <w:rsid w:val="5FA17648"/>
    <w:rsid w:val="613409CB"/>
    <w:rsid w:val="61A46A97"/>
    <w:rsid w:val="62DD7D21"/>
    <w:rsid w:val="65D97752"/>
    <w:rsid w:val="664C500C"/>
    <w:rsid w:val="670267B3"/>
    <w:rsid w:val="6773145F"/>
    <w:rsid w:val="68DB0208"/>
    <w:rsid w:val="69846A0E"/>
    <w:rsid w:val="69AD798C"/>
    <w:rsid w:val="6B68175F"/>
    <w:rsid w:val="6B8B5C99"/>
    <w:rsid w:val="6E0F7A08"/>
    <w:rsid w:val="6E801ABC"/>
    <w:rsid w:val="71473612"/>
    <w:rsid w:val="716B13F9"/>
    <w:rsid w:val="718F7F65"/>
    <w:rsid w:val="73423603"/>
    <w:rsid w:val="73DE4104"/>
    <w:rsid w:val="73FB6630"/>
    <w:rsid w:val="74CE04EC"/>
    <w:rsid w:val="74E76DCD"/>
    <w:rsid w:val="76660D7C"/>
    <w:rsid w:val="76CF72D3"/>
    <w:rsid w:val="77ED6F44"/>
    <w:rsid w:val="78B87A58"/>
    <w:rsid w:val="795A0A34"/>
    <w:rsid w:val="79FB30B5"/>
    <w:rsid w:val="7A0D3BC7"/>
    <w:rsid w:val="7A3A3CDB"/>
    <w:rsid w:val="7EAC4FE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qFormat="1"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32"/>
      <w:szCs w:val="24"/>
      <w:lang w:val="en-US" w:eastAsia="zh-CN" w:bidi="ar-SA"/>
    </w:rPr>
  </w:style>
  <w:style w:type="character" w:default="1" w:styleId="9">
    <w:name w:val="Default Paragraph Font"/>
    <w:semiHidden/>
    <w:unhideWhenUsed/>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2">
    <w:name w:val="annotation text"/>
    <w:basedOn w:val="1"/>
    <w:qFormat/>
    <w:uiPriority w:val="0"/>
    <w:pPr>
      <w:jc w:val="left"/>
    </w:pPr>
  </w:style>
  <w:style w:type="paragraph" w:styleId="3">
    <w:name w:val="toc 3"/>
    <w:basedOn w:val="1"/>
    <w:next w:val="1"/>
    <w:qFormat/>
    <w:uiPriority w:val="0"/>
    <w:pPr>
      <w:ind w:left="840" w:leftChars="400"/>
    </w:pPr>
  </w:style>
  <w:style w:type="paragraph" w:styleId="4">
    <w:name w:val="footer"/>
    <w:basedOn w:val="1"/>
    <w:qFormat/>
    <w:uiPriority w:val="0"/>
    <w:pPr>
      <w:tabs>
        <w:tab w:val="center" w:pos="4153"/>
        <w:tab w:val="right" w:pos="8306"/>
      </w:tabs>
      <w:snapToGrid w:val="0"/>
      <w:jc w:val="left"/>
    </w:pPr>
    <w:rPr>
      <w:sz w:val="18"/>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6">
    <w:name w:val="toc 1"/>
    <w:basedOn w:val="1"/>
    <w:next w:val="1"/>
    <w:qFormat/>
    <w:uiPriority w:val="0"/>
  </w:style>
  <w:style w:type="paragraph" w:styleId="7">
    <w:name w:val="toc 2"/>
    <w:basedOn w:val="1"/>
    <w:next w:val="1"/>
    <w:qFormat/>
    <w:uiPriority w:val="0"/>
    <w:pPr>
      <w:ind w:left="420" w:leftChars="200"/>
    </w:pPr>
  </w:style>
  <w:style w:type="paragraph" w:customStyle="1" w:styleId="10">
    <w:name w:val="WPSOffice手动目录 3"/>
    <w:qFormat/>
    <w:uiPriority w:val="0"/>
    <w:pPr>
      <w:ind w:left="400" w:leftChars="400"/>
    </w:pPr>
    <w:rPr>
      <w:rFonts w:ascii="Times New Roman" w:hAnsi="Times New Roman" w:eastAsia="宋体" w:cs="Times New Roman"/>
      <w:lang w:val="en-US" w:eastAsia="zh-CN" w:bidi="ar-SA"/>
    </w:rPr>
  </w:style>
  <w:style w:type="paragraph" w:customStyle="1" w:styleId="11">
    <w:name w:val="WPSOffice手动目录 2"/>
    <w:qFormat/>
    <w:uiPriority w:val="0"/>
    <w:pPr>
      <w:ind w:left="200" w:leftChars="200"/>
    </w:pPr>
    <w:rPr>
      <w:rFonts w:ascii="Times New Roman" w:hAnsi="Times New Roman" w:eastAsia="宋体" w:cs="Times New Roman"/>
      <w:lang w:val="en-US" w:eastAsia="zh-CN" w:bidi="ar-SA"/>
    </w:rPr>
  </w:style>
  <w:style w:type="paragraph" w:customStyle="1" w:styleId="12">
    <w:name w:val="WPSOffice手动目录 1"/>
    <w:qFormat/>
    <w:uiPriority w:val="0"/>
    <w:rPr>
      <w:rFonts w:ascii="Times New Roman" w:hAnsi="Times New Roman" w:eastAsia="宋体" w:cs="Times New Roman"/>
      <w:lang w:val="en-US" w:eastAsia="zh-CN" w:bidi="ar-SA"/>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2.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F0D2BC71-196F-4E8D-B958-07750D1EE8B3}">
  <ds:schemaRefs/>
</ds:datastoreItem>
</file>

<file path=docProps/app.xml><?xml version="1.0" encoding="utf-8"?>
<Properties xmlns="http://schemas.openxmlformats.org/officeDocument/2006/extended-properties" xmlns:vt="http://schemas.openxmlformats.org/officeDocument/2006/docPropsVTypes">
  <Template>Normal.dotm</Template>
  <Pages>3</Pages>
  <Words>519</Words>
  <Characters>537</Characters>
  <Lines>10</Lines>
  <Paragraphs>2</Paragraphs>
  <TotalTime>7</TotalTime>
  <ScaleCrop>false</ScaleCrop>
  <LinksUpToDate>false</LinksUpToDate>
  <CharactersWithSpaces>543</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2026-07-22T07:37:00Z</dcterms:created>
  <dc:creator>GXR</dc:creator>
  <cp:lastModifiedBy>净</cp:lastModifiedBy>
  <cp:lastPrinted>2024-07-22T11:58:00Z</cp:lastPrinted>
  <dcterms:modified xsi:type="dcterms:W3CDTF">2026-08-25T03:09:34Z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8FDA567F26D84A8C8A1B02E29FDE1AE6_13</vt:lpwstr>
  </property>
  <property fmtid="{D5CDD505-2E9C-101B-9397-08002B2CF9AE}" pid="4" name="KSOTemplateDocerSaveRecord">
    <vt:lpwstr>eyJoZGlkIjoiYzdkNWY5OGM4OTRiMDBlYmMyNmZmZGZhMDgxMzY1MzQiLCJ1c2VySWQiOiI0MDU5MTQxNzUifQ==</vt:lpwstr>
  </property>
</Properties>
</file>