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昌吉回族自治州第一中学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第一中学是一所完全中学，主要实施初、高中学历教育，坚持社会主义办学方向，以促进基础教育发展，全面贯彻党的教育方针、深化教育改革、转变教育观念为目的，坚持“取信于学生、取信于家长、取信于社会”的办学理念。</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昌吉回族自治州第一中学无下属预算单位。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2025年度收入总计11,351.02万元，</w:t>
      </w:r>
      <w:r>
        <w:rPr>
          <w:rFonts w:ascii="仿宋_GB2312" w:hAnsi="仿宋_GB2312" w:eastAsia="仿宋_GB2312"/>
          <w:b w:val="0"/>
          <w:sz w:val="32"/>
        </w:rPr>
        <w:t>其中：本年收入合计11,226.01万元，使用非财政拨款结余（含专用结余）0.00万元，年初结转和结余125.01万元。</w:t>
      </w:r>
    </w:p>
    <w:p>
      <w:pPr>
        <w:spacing w:line="580" w:lineRule="exact"/>
        <w:ind w:firstLine="640"/>
        <w:jc w:val="both"/>
      </w:pPr>
      <w:r>
        <w:rPr>
          <w:rFonts w:ascii="仿宋_GB2312" w:hAnsi="仿宋_GB2312" w:eastAsia="仿宋_GB2312"/>
          <w:b/>
          <w:sz w:val="32"/>
        </w:rPr>
        <w:t>2025年度支出总计11,351.02万元，</w:t>
      </w:r>
      <w:r>
        <w:rPr>
          <w:rFonts w:ascii="仿宋_GB2312" w:hAnsi="仿宋_GB2312" w:eastAsia="仿宋_GB2312"/>
          <w:b w:val="0"/>
          <w:sz w:val="32"/>
        </w:rPr>
        <w:t>其中：本年支出合计11,299.12万元，结余分配0.00万元，年末结转和结余51.90万元。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增加55.70万元，增长0.49%，主要原因是：本年增加高中学费、课后服务费收入，在职人员增加，相关人员经费增加。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本年收入11,226.01万元，</w:t>
      </w:r>
      <w:r>
        <w:rPr>
          <w:rFonts w:ascii="仿宋_GB2312" w:hAnsi="仿宋_GB2312" w:eastAsia="仿宋_GB2312"/>
          <w:b w:val="0"/>
          <w:sz w:val="32"/>
        </w:rPr>
        <w:t>其中：财政拨款收入10,435.07万元，占92.95%；上级补助收入0.00万元，占0.00%；事业收入464.42万元，占4.14%；经营收入0.00万元，占0.00%；附属单位上缴收入0.00万元，占0.00%；其他收入326.52万元，占2.91%。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本年支出11,299.12万元，</w:t>
      </w:r>
      <w:r>
        <w:rPr>
          <w:rFonts w:ascii="仿宋_GB2312" w:hAnsi="仿宋_GB2312" w:eastAsia="仿宋_GB2312"/>
          <w:b w:val="0"/>
          <w:sz w:val="32"/>
        </w:rPr>
        <w:t>其中：基本支出8,189.16万元，占72.48%；项目支出3,109.96万元，占27.52%；上缴上级支出0.00万元，占0.00%；经营支出0.00万元，占0.00%；对附属单位补助支出0.00万元，占0.00%。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2025年度财政拨款收入总计10,435.07万元，</w:t>
      </w:r>
      <w:r>
        <w:rPr>
          <w:rFonts w:ascii="仿宋_GB2312" w:hAnsi="仿宋_GB2312" w:eastAsia="仿宋_GB2312"/>
          <w:b w:val="0"/>
          <w:sz w:val="32"/>
        </w:rPr>
        <w:t>其中：年初财政拨款结转和结余0.00万元，本年财政拨款收入10,435.07万元。</w:t>
      </w:r>
      <w:r>
        <w:rPr>
          <w:rFonts w:ascii="仿宋_GB2312" w:hAnsi="仿宋_GB2312" w:eastAsia="仿宋_GB2312"/>
          <w:b/>
          <w:sz w:val="32"/>
        </w:rPr>
        <w:t>财政拨款支出总计10,435.07万元，</w:t>
      </w:r>
      <w:r>
        <w:rPr>
          <w:rFonts w:ascii="仿宋_GB2312" w:hAnsi="仿宋_GB2312" w:eastAsia="仿宋_GB2312"/>
          <w:b w:val="0"/>
          <w:sz w:val="32"/>
        </w:rPr>
        <w:t>其中：年末财政拨款结转和结余0.00万元，本年财政拨款支出10,435.07万元。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减少156.52万元，下降1.48%，主要原因是：本年新校区教育教学设备购置项目资金较上年减少。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8,362.75万元，决算数10,435.07万元，预决算差异率24.78%，主要原因是：年中追加2024年绩效考核奖、人员经费及人员工资、社保、公积金基数调增部分资金，追加新校区教育教学设备购置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教学设备购置及机构运行保障项目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高中教育（项）的支出占本年财政拨款支出总额的比重最高，2025年度决算数为6,057.25万元，占比58.05%，主要用于人员工资福利及公用经费，学生资助补助经费、设备及配套教学仪器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2025年度一般公共预算财政拨款支出10,435.07万元，</w:t>
      </w:r>
      <w:r>
        <w:rPr>
          <w:rFonts w:ascii="仿宋_GB2312" w:hAnsi="仿宋_GB2312" w:eastAsia="仿宋_GB2312"/>
          <w:b w:val="0"/>
          <w:sz w:val="32"/>
        </w:rPr>
        <w:t>占本年支出合计的92.35%。</w:t>
      </w:r>
      <w:r>
        <w:rPr>
          <w:rFonts w:ascii="仿宋_GB2312" w:hAnsi="仿宋_GB2312" w:eastAsia="仿宋_GB2312"/>
          <w:b/>
          <w:sz w:val="32"/>
        </w:rPr>
        <w:t>与上年相比，</w:t>
      </w:r>
      <w:r>
        <w:rPr>
          <w:rFonts w:ascii="仿宋_GB2312" w:hAnsi="仿宋_GB2312" w:eastAsia="仿宋_GB2312"/>
          <w:b w:val="0"/>
          <w:sz w:val="32"/>
        </w:rPr>
        <w:t>减少130.07万元，下降1.23%，主要原因是：本年新校区教育教学设备购置项目资金较上年减少。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8,362.75万元，决算数10,435.07万元，预决算差异率24.78%，主要原因是：年中追加2024年绩效考核奖、人员经费及人员工资、社保、公积金基数调增部分资金，追加新校区教育教学设备购置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1.教育支出（类）9,559.24万元，占91.61%。</w:t>
      </w:r>
    </w:p>
    <w:p>
      <w:pPr>
        <w:spacing w:line="580" w:lineRule="exact"/>
        <w:ind w:firstLine="640"/>
        <w:jc w:val="both"/>
      </w:pPr>
      <w:r>
        <w:rPr>
          <w:rFonts w:ascii="仿宋_GB2312" w:hAnsi="仿宋_GB2312" w:eastAsia="仿宋_GB2312"/>
          <w:b w:val="0"/>
          <w:sz w:val="32"/>
        </w:rPr>
        <w:t>2.科学技术支出（类）757.88万元，占7.26%。</w:t>
      </w:r>
    </w:p>
    <w:p>
      <w:pPr>
        <w:spacing w:line="580" w:lineRule="exact"/>
        <w:ind w:firstLine="640"/>
        <w:jc w:val="both"/>
      </w:pPr>
      <w:r>
        <w:rPr>
          <w:rFonts w:ascii="仿宋_GB2312" w:hAnsi="仿宋_GB2312" w:eastAsia="仿宋_GB2312"/>
          <w:b w:val="0"/>
          <w:sz w:val="32"/>
        </w:rPr>
        <w:t>3.城乡社区支出（类）117.96万元，占1.13%。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1.教育支出（类）普通教育（款）初中教育（项）：支出决算数为3,501.99万元，比上年决算增加93.53万元，增长2.74%，主要原因是：本年在职人员增加，工资调增，社保、公积金基数调增，人员经费增加。</w:t>
      </w:r>
    </w:p>
    <w:p>
      <w:pPr>
        <w:spacing w:line="580" w:lineRule="exact"/>
        <w:ind w:firstLine="640"/>
        <w:jc w:val="both"/>
      </w:pPr>
      <w:r>
        <w:rPr>
          <w:rFonts w:ascii="仿宋_GB2312" w:hAnsi="仿宋_GB2312" w:eastAsia="仿宋_GB2312"/>
          <w:b w:val="0"/>
          <w:sz w:val="32"/>
        </w:rPr>
        <w:t>2.教育支出（类）普通教育（款）高中教育（项）：支出决算数为6,057.25万元，比上年决算增加1,442.92万元，增长31.27%，主要原因是：本年在职人员增加，工资调增，社保、公积金基数调增，人员经费增加。增加学生生均经费、州直学校园餐保障经费等，导致经费支出增加。</w:t>
      </w:r>
    </w:p>
    <w:p>
      <w:pPr>
        <w:spacing w:line="580" w:lineRule="exact"/>
        <w:ind w:firstLine="640"/>
        <w:jc w:val="both"/>
      </w:pPr>
      <w:r>
        <w:rPr>
          <w:rFonts w:ascii="仿宋_GB2312" w:hAnsi="仿宋_GB2312" w:eastAsia="仿宋_GB2312"/>
          <w:b w:val="0"/>
          <w:sz w:val="32"/>
        </w:rPr>
        <w:t>3.科学技术支出（类）技术研究与开发（款）科技成果转化与扩散（项）：支出决算数为757.88万元，比上年决算减少1,784.47万元，下降70.19%，主要原因是：本年新校区教育教学设备购置项目资金较上年减少。</w:t>
      </w:r>
    </w:p>
    <w:p>
      <w:pPr>
        <w:spacing w:line="580" w:lineRule="exact"/>
        <w:ind w:firstLine="640"/>
        <w:jc w:val="both"/>
      </w:pPr>
      <w:r>
        <w:rPr>
          <w:rFonts w:ascii="仿宋_GB2312" w:hAnsi="仿宋_GB2312" w:eastAsia="仿宋_GB2312"/>
          <w:b w:val="0"/>
          <w:sz w:val="32"/>
        </w:rPr>
        <w:t>4.城乡社区支出（类）其他城乡社区支出（款）其他城乡社区支出（项）：支出决算数为117.96万元，比上年决算增加117.96万元，增长100.00%，主要原因是：本年增加2024年绩效考核奖，导致经费支出增加。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2025年度一般公共预算财政拨款基本支出8,106.78万元，其中：</w:t>
      </w:r>
      <w:r>
        <w:rPr>
          <w:rFonts w:ascii="仿宋_GB2312" w:hAnsi="仿宋_GB2312" w:eastAsia="仿宋_GB2312"/>
          <w:b/>
          <w:sz w:val="32"/>
        </w:rPr>
        <w:t>人员经费7,540.42万元，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w:t>
      </w:r>
    </w:p>
    <w:p>
      <w:pPr>
        <w:spacing w:line="580" w:lineRule="exact"/>
        <w:ind w:firstLine="640"/>
        <w:jc w:val="both"/>
      </w:pPr>
      <w:r>
        <w:rPr>
          <w:rFonts w:ascii="仿宋_GB2312" w:hAnsi="仿宋_GB2312" w:eastAsia="仿宋_GB2312"/>
          <w:b/>
          <w:sz w:val="32"/>
        </w:rPr>
        <w:t>公用经费566.36万元，</w:t>
      </w:r>
      <w:r>
        <w:rPr>
          <w:rFonts w:ascii="仿宋_GB2312" w:hAnsi="仿宋_GB2312" w:eastAsia="仿宋_GB2312"/>
          <w:b w:val="0"/>
          <w:sz w:val="32"/>
        </w:rPr>
        <w:t>包括：办公费、取暖费、工会经费、福利费、公务用车运行维护费、其他商品和服务支出。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sz w:val="32"/>
        </w:rPr>
        <w:t>2025年度政府性基金预算财政拨款收入总计0.00万元，</w:t>
      </w:r>
      <w:r>
        <w:rPr>
          <w:rFonts w:ascii="仿宋_GB2312" w:hAnsi="仿宋_GB2312" w:eastAsia="仿宋_GB2312"/>
          <w:b w:val="0"/>
          <w:sz w:val="32"/>
        </w:rPr>
        <w:t>其中：年初结转和结余0.00万元，本年收入0.00万元。</w:t>
      </w:r>
      <w:r>
        <w:rPr>
          <w:rFonts w:ascii="仿宋_GB2312" w:hAnsi="仿宋_GB2312" w:eastAsia="仿宋_GB2312"/>
          <w:b/>
          <w:sz w:val="32"/>
        </w:rPr>
        <w:t>政府性基金预算财政拨款支出总计0.00万元，</w:t>
      </w:r>
      <w:r>
        <w:rPr>
          <w:rFonts w:ascii="仿宋_GB2312" w:hAnsi="仿宋_GB2312" w:eastAsia="仿宋_GB2312"/>
          <w:b w:val="0"/>
          <w:sz w:val="32"/>
        </w:rPr>
        <w:t>其中：年末结转和结余0.00万元，本年支出0.00万元。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减少26.45万元，下降100.00%，主要原因是：本年度减少体育传统特色项目。</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年初预算数0.00万元，决算数0.00万元，预决算差异率0.00%，主要原因是：本年未安排政府性基金预算财政拨款。</w:t>
      </w:r>
    </w:p>
    <w:p>
      <w:pPr>
        <w:spacing w:line="580" w:lineRule="exact"/>
        <w:ind w:firstLine="640"/>
        <w:jc w:val="both"/>
      </w:pPr>
      <w:r>
        <w:rPr>
          <w:rFonts w:ascii="仿宋_GB2312" w:hAnsi="仿宋_GB2312" w:eastAsia="仿宋_GB2312"/>
          <w:b w:val="0"/>
          <w:sz w:val="32"/>
        </w:rPr>
        <w:t>政府性基金预算财政拨款本年支出0.00万元。具体情况如下：</w:t>
      </w:r>
    </w:p>
    <w:p>
      <w:pPr>
        <w:spacing w:line="580" w:lineRule="exact"/>
        <w:ind w:firstLine="640"/>
        <w:jc w:val="both"/>
      </w:pPr>
      <w:r>
        <w:rPr>
          <w:rFonts w:ascii="仿宋_GB2312" w:hAnsi="仿宋_GB2312" w:eastAsia="仿宋_GB2312"/>
          <w:b w:val="0"/>
          <w:sz w:val="32"/>
        </w:rPr>
        <w:t>1.其他支出（类）彩票公益金安排的支出（款）用于体育事业的彩票公益金支出（项）：支出决算数为0.00万元，比上年决算减少26.45万元，下降100.00%，主要原因是：本年度减少体育传统特色项目。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2025年度财政拨款“三公”经费支出1.50万元，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1.50万元，其中：公务用车购置费0.00万元，公务用车运行维护费1.50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1.50万元，决算数1.50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1.50万元，决算数1.50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2025年度昌吉回族自治州第一中学（事业单位）公用经费支出566.36万元，比上年减少165.07万元，下降22.57%，主要原因是：本年减少物业管理费、维修（护）费、专用材料费等，导致公用经费支出减少。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2025年度政府采购支出总额2,501.18万元，其中：政府采购货物支出2,031.47万元、政府采购工程支出0.00万元、政府采购服务支出469.71万元。</w:t>
      </w:r>
    </w:p>
    <w:p>
      <w:pPr>
        <w:spacing w:line="580" w:lineRule="exact"/>
        <w:ind w:firstLine="640"/>
        <w:jc w:val="both"/>
      </w:pPr>
      <w:r>
        <w:rPr>
          <w:rFonts w:ascii="仿宋_GB2312" w:hAnsi="仿宋_GB2312" w:eastAsia="仿宋_GB2312"/>
          <w:b w:val="0"/>
          <w:sz w:val="32"/>
        </w:rPr>
        <w:t>授予中小企业合同金额1,552.31万元，占政府采购支出总额的62.06%，其中：授予小微企业合同金额1,552.31万元，占政府采购支出总额的62.06%。</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60,811.99平方米，价值15,450.20万元。车辆1辆，价值21.51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11,351.02万元，实际执行总额11,299.12万元；预算绩效评价项目15个，全年预算数4,056.26万元，全年执行数3,163.22万元。预算绩效管理取得的成效：一是依据绩效目标，更加合理的安排支出节奏，确保绩效监控工作顺利推进，更好的完成绩效评价工作；二是进一步加强了单位内部机构各科室的预算管理意识、绩效监控意识，严格按照预算编制的相关可控性。发现的问题及原因：学校是特殊行业，一般只能在学生放假期间才能实施一些项目，但因较大的项目采购程序较复杂，流程执行时间较长，造成资金支付较慢，影响资金使用时效。下一步改进措施：一是根据学校行业特殊和具体项目性质，在下达预算资金时合理安排时间和要求。二是建议政府采购招标方式按项目的实际情况确定招标方式，综合评定投标企业，保障项目单位的利益，保证项目资金的有效利用和项目的完成质量。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8,055.58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10,131.51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10,131.51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833.57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781.67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9,482.75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11,351.02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11,299.12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坚持用习近平新时代中国特色社会主义思想铸魂育人，深化党的创新理论“三进”，全面推进“五育并举”，培养德智体美劳全面发展的社会主义建设者和接班人。促进学生全面发展。一是加强学生心理测评和特异体质学生排查工作，完善团辅、个辅工作，做好案例的整理、使用。二是加强劳动教育课程建设和学分认定工作，提升学生综合性劳动实践能力，科学合理地做好劳动实践功能室课程的开设与评价。三是开展好阳光体育活动，落实好体育艺术“2+1”活动，持续探索课后服务的做法。四是继续开展社会实践、研学活动，提升学生的创新精神和实践能力。五是进一步完善社团工作，丰富学生课余文化生活。加强对常规工作的巡查、督促工作。一是做好两平台常规检查、每学期两次的教学评价、各类考试的组织和试卷命制、学籍管理、学分认定、各类培训、教材教辅征订等常规工作。二是坚持以问题为导向的原则，以数据为抓手，切实做好临界学生辅导工作的安排与落实。三是强化培优工作，协同年级组做好各个年级拓展性课程建设与管理，教务处做好跟踪检查，每学期期中、期末考试结束后进行考核、评价、反馈。四是强化暑假作业布置，巩固“双减”成效。五是持续规范体育、艺术教学训练及参赛工作。六是做好教师能力提升，落实师徒帮带制度，通过听课、做题、汇报课等形式实现能力提升。七是做好小升初、初升高、高招会等招生政策的宣传、解读、总结、资料保存等相关工作，严格规范工作流程。八是做好初中体音美学科过程性评价、初高中体育课的增值性评价等相关工作，提高体音美课堂教学质量。提高教师综合素质，加强体音美科目教学，提高学生的综合素质，不断提升教育教学质量，为打造教育强州做出应有的贡献，教育是国家发展的基石。力争2025年高考再创佳绩，跻身自治区高中教育第一梯队，争创全国知名学校。</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11351.02万元，全年执行数为11299.12万元，总预算执行率为99.54%。2025年我单位完成以下工作内容：1、深化基础教育提质扩优工程，加强教学常规工作。做好考后诊断分析。以大型考试为载体，数据分析为基础，目标考核管理为抓手，开好年级诊断分析会，班级诊断分析会，学科诊断分析会。加强教研活动管理，提高备课组活动实效。；2.2025年累计个体辅导学生及家长近120人次，团体辅导24场次，心理健康测评2次，测评学生12000人次（含自治区MTH测评数据），对班主任做《学生经典案例分析》专题培训2次，起始年级心理健康专题讲座2场，学生心理健康宣讲广播14次。投入24.37万元，其中15.1万元为财政专项补助，组织近300名教职工进行健康体检，分四个年龄段设置针对性的体检项目，三批次安排教职工集中体检，让大家能够安心、放心的开展日常工作，有效改善教师们的健康状况。3.2025年已发放国家助学金124.05万元，受惠学生1241人次；发放义务教育段家庭经济困难学生生活补助8.925万元，受惠学生338人次；减免高中年级学杂费、住宿费2.37万元，受惠学生21人次，滋蕙计划发放补助金1.65万元，受惠学生19人次，爱心企业、红十字会发放资助金20.9万元，受惠学生43人次。通过以上工作的实施，2024年，学校高考一本总体上线率近90%，总分600分以上25人，进入全疆前六，摘得全州文理科第一名桂冠，14人进入全疆前100名，其中2人被清华大学录取，17人被上海交大、复旦、浙大等名校录取，被985院校录取136人、211院校录取361人。24人申报高校强基计划，4人入围（含清华大学1人）。在各类竞赛中，荣获全国数学、生物奥赛铜牌2人，自治区奖项62人次，中考语数英等8个学科平均分均位列州直第一，荣获自治区义务教育阶段教育教学改革示范校称号。推动成立昌吉州第一个心理健康名师工作室，斥资150余万打造西校区综合心理健康功能室、投入30万升级改造东校区心理功能室。不断弘扬教育家精神，立足教师培训，促进专业发展，按照“科研、教研、师训一体化”“课程、课题、课堂一体化”的思路抓教师发展工作，实施教育梯队人才靶向定向培养，努力提升学校特色化、优质化、品牌化办学水平，奋力谱写新时代让党放心、让人民满意的教育新篇章！</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培养庭州名师人数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昌州党组【2024】79号关于印发《“庭州英才”育才计划2025年度实施方案》的通知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发放高中助学金人数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&lt;=685人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新财规【2021】13号《关于印发“新疆维吾尔自治区学生资助资金管理办法”》的通知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=673人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发放义务教育家庭困难学生生活补助人数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&lt;=111人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新财规【2020】10号  《 新疆维吾尔自治区城乡义务教育“两免一补”资助政策管理办法》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教师参加继续教育培训人数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&gt;=136人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昌州教办发【2025】1号关于开展昌吉州第七个五年周期中小学老师继续教育第一期集中培训工作的通知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高考一本上线率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昌吉州第一中学2024-2025学年第二学期 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该项目拨付了2023-2025年共15位庭州名师的工作经费及2个人才工作室的工作经费，通过项目的实施更好地开展教学研究、课程开发和教师培训，提升教师队伍素质，带动整体教学水平的提升，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7月25日，该项目实际支出30.54万元，资金执行率为87.26%，该项目保障了15位名师，2个工作室开展教学研究，课程开发和教师培训。通过项目的实施，进一步更新了教师教育教学理念，提升了课堂教学、教研科研、班级管理的综合能力，充分发挥了人才培育项目的赋能作用，带动整体教学水平的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庭州名师人数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教学用具验收合格率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定性指标，由于个别名师绩效管理意识不强，对经费使用规划不足，导致经费使用进度过慢，未能按时完成指标，导致偏差率为100%。下一步措施：提升相关教师的绩效管理意识，提升资金使用规划能力和执行能力，在规定期限内完成绩效目标避免造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庭州名师生活补助投入成本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&lt;=14.8元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由15位名师和2个工作室共同使用，个别名师未按时使用完自己部分的经费，导致整体经费使用进度过慢，产生偏差。下一步措施：提升相关教师的绩效管理意识，提升资金使用规划能力和执行能力，按期完成项目计划避免造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提升教师队伍素质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该指标为满意度指标，设定绩效目标为90%，实际满意度结果为98%，超过设定的目标值，造成偏差。下一步措施：设定绩效目标时进行精准评估，避免造成偏差。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2025年城乡义务教育补助经费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我校2025年义务教育阶段家庭经济困难学生享受生活补助和免教科书费比例不低于100%，一年发放2次生活补助。通过该项目实施，落实义务教育经费保障机制，减轻义务教育阶段家庭经济困难学生家庭的经济负担。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213.76万元，资金执行率100%，本项目实际完成义务教育阶段家庭经济困难学生享受生活补助和免教科书费比例达到100%，全年发放2次困难学生生活补助。通过该项目实施，落实义务教育经费保障机制，减轻义务教育阶段家庭经济困难学生家庭的经济负担。</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家庭经济困难学生享受生活补助政策比例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享受免费教科书政策的学生比例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教科书质量合格率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家庭困难学生补助标准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=375元/人/学期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=375元/人/学期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375元/人/学期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减轻困难学生家庭负担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参与调查的学生以在校正常学习为主，对有意见诉求较多的学生覆盖不足，存在选择性偏差。在编制下一年度绩效目标时，结合实际执行能力，将满意度目标值适当上调，改进建议。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2025年学生资助补助经费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123.11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123.11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2025年我校高中阶段困难学生享受补助比例不低于100%，一年发放2次补助。通过该项目实施，减轻经济困难家庭的负担，保证有能力的学生顺利完成学业。</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156.06万元，资金执行率100%，本项目实际完成高中阶段应困难学生受助比例100%，春秋两季的助学金发放工作2次；通过本项目的实施，减轻经济困难家庭的负担，保证有能力的学生顺利完成学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高中阶段应困难学生受助比例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应免学杂费学生覆盖率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助学金发放标准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=2300元/年/生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=2300元/年/生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2000元/年/生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免学杂费补助标准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=1430元/生/年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减轻困难学生家庭负担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部分学生对政策、通知传达不清晰，学生理解偏差，负面评价较多。下一年传达清楚补助说明，提升相关服务质量。</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2025年州直学校厕所改造资金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项目计划支出14.84万元，该项目需更换274个隔挡门，38个换气扇，有效改善学校卫生间的环境。厕所空间融入健康教育，潜移默化培养学生卫生习惯。</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截至2025年12月31日，该项目支出14.84万元，执行率为100%。该项目已更换274个隔挡门，38个换气扇，通过项目实施有效改善学校卫生间的环境。厕所空间融入健康教育，潜移默化培养学生卫生习惯。</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安装隔挡门数量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安装换气扇数量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隔挡门投入经费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换气扇投入经费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学校卫生间环境提升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2025年州直学校校园餐保障经费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保障两个学生食堂共28个从业人员的管理服务费，通过该项目的实施有效保障学生食堂正常运行，提升学生对食堂的满意度。学生吃得好、吃得健康，能够保持良好的精神状态，从而提高学习的积极性和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99万元，资金执行率100%，项目保障2个学生食堂共28名从业人员的管理服务费，通过该项目的实施，学生食堂正常运行，学生吃得好、吃得健康，该项目提升了学生对食堂的满意度，保证了学生良好的心情和精神状态，提高了学习积极性和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保障食堂个数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食堂服务人员数量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食堂运营考核合格率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午间就餐时段学生集中涌入食堂，现有食堂工作人员配比不足，难以高效承接集中供餐任务。就餐期间部分学生随意插队扰乱就餐秩序，就餐动线拥堵，用餐保障服务达不到考核标准，多项考核事项失分，最终食堂运营考核合格率未实现百分之百达标。 下一年度改进措施：常态化开展就餐文明礼仪宣传教育，就餐时段安排值班人员现场引导排队，对插队违规学生及时批评劝导、规范就餐行为。错峰划分班级就餐时段分流客流，优化食堂打餐动线，细化日常运营管理制度，按月对照考核细则自查整改，稳步提升食堂运营考核合格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一楼食堂管理服务费投入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二楼食堂服务管理费投入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为提高食堂的服务质量和饭菜质量，提升学校声誉。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制定学生满意度考核指标较为保守，针对食堂就餐拥堵、学生插队等问题落实就餐引导整改措施，规范排队秩序、优化就餐服务，学生用餐体验持续改善。实地问卷调查好评占比大幅提升，最终学生满意度测评结果高于原定目标，指标完成率偏高。 下一年度改进措施：依托本年度满意度调研数据科学上调年度考核指标，持续落实就餐秩序管控，常态化开展文明就餐宣教。定期收集学生就餐意见，动态优化食堂供餐与管理细节，完善指标测算维度，精准核定考核目标，稳步巩固学生满意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2025年教师体检补助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2025年该项目计划每年对310位在编教职工给予体检补助一次， 通过该项目的实施对全州教职员工开展健康体检，有效改善全州教师身体健康状况。</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截至2025年12月31日，本项目支出资金15.5万元，资金执行率100%，本项目实际完成对302位在编教职工的体检。通过本项目的实施对全州教职员工开展健康体检，有效改善全州教师身体健康状况。</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参加体检的教职工人数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年中人员变动较多，实际体检人员与年初设定目标时有偏差，下一年度设定目标时尽量精准。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体检补助预算成本控制率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有效改善教师身体健康状况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2025年自治州中小学名校长名班主任名师工作室建设经费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2025年建设名校长、名师、名班主任工作室各1个，通过项目实施不断提高教育教学水平，发挥好引领示范作用。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7月25日，本项目支出资金2.31万元，资金执行率57.75%，本项目保障建设名校长工作室、名班主任工作室、名师工作室各1个，为学校教师队伍专业化建设提供专项经费支撑。通过项目实施，有效更新了教师教育理念，提升了课堂教学、教研创新与育人实践能力，进一步夯实了学校师资梯队建设基础，为学校持续提升教育教学质量提供了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建设名校长工作室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建设名班主任工作室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建设名师工作室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购买办公及教学用具验收合格率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定性指标，由于名班主任和工作室经费未使用完，未能按时完成指标，导致偏差率为100%。下一步措施：提升相关教师的绩效管理意识，提升资金使用规划能力和执行能力，在规定期限内完成绩效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名校长工作室投入成本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名班主任工作室投入成本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由名班主任工作室支配，由于负责人绩效管理意识不强，对经费使用规划不足，未能按时完成指标，产生偏差。下一步措施：提升相关教师的绩效管理意识，提升资金使用规划能力和执行能力，按时完成绩效目标避免造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名师工作室投入成本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由该部分经费由名工作室自己支配，由于负责人绩效管理意识不强，对经费使用规划不足，导致经费使用进度过慢，未能按时完成指标，产生偏差。下一步措施：提升相关教师的绩效管理意识，提升资金使用规划能力和执行能力，避免项目延期。</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不断提高教育教学水平，发挥好引领示范作用。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该指标为满意度指标，设定绩效目标为90%，实际满意度结果为100%，超过设定的目标值，造成偏差。下一步措施：设定绩效目标时进行精准评估，避免造成偏差。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促进教育事业发展资金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2025年计划开展不少2次的培训及教学交流活动，通过该项目的实施发挥示范校的引领作用，不断提升教育教学水平。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截至2025年12月31日，本项目支出资金2万元，资金执行率100%，本项目实际开展2次的培训及教育教学交流活动。通过本项目的实施发挥了示范校的引领作用，不断提升教育教学水平，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开展教育教学交流活动次数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2025年3月13日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交流活动费投入成本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提高教育教学水平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交流学习学校的满意度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问卷以总体满意、基本满意为主，缺少不满意、很不满意等梯度选项，导致分数自然偏低，下一年改进问卷形式，详细梯度设置。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州直学校2025年免收困难学生课后服务费财政补助资金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本项目本年拟投入6.76万元，2025年计划按人均400元标准补助补助困难学生169人课后服务费，通过该项目实施有效减轻家庭困难学生家庭负担。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截至2025年12月31日，本项目支出资金6.76万元，资金执行率100%，本项目实际完成春秋两季的课后服务费补助学生170人；通过本项目的实施，减轻经济困难家庭的负担，保证有能力的学生顺利完成学业。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困难学生覆盖率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=400元/人/学期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有效减轻经济困难学生家庭负担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新疆人才发展基金2025年度第一轮支持资金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83.45%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40万元，该项目保障2位“天山英才”名师在2025年开展业务交流活动不少于2次，带领导本地“天山英才”教育教学名师培养对象研修团队参加业务培训不少于2次，帮助教师在专业领域内不断成长，使得学生能够接受更高质量的教育，并对昌吉州教学及研究工作发挥引领辐射作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7月25日，本项目支出资金33.38万元，资金执行率83.45%，本项目保障2位“天山英才”教师开展培训活动2次，教育教学交流活动2次，提升了教师的专业素养，并对教师生活补助进行补助，为学校教师队伍专业化建设提供专项经费支撑。通过项目实施，有效更新了教师教育理念，提升了课堂教学、教研创新与育人实践能力，进一步夯实了学校师资梯队建设基础，为学校持续提升教育教学质量提供了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“天山英才”名师人数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保障业务交流活动次数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备科组参加业务活动出勤率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定性指标，由于2位老师绩效管理意识不强，对经费使用规划不足，导致经费使用进度过慢，未能按时完成指标，导致偏差率为100%。下一步措施：提升相关教师的绩效管理意识，提升资金使用规划能力和执行能力，避免项目延期。</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由15位名师和2该指标由2位名师共同使用，由于2位老师未按时使用完自己部分的经费，导致整体经费使用进度过慢，产生偏差。下一步措施：提升相关教师的绩效管理意识，提升资金使用规划能力和执行能力，按时完成绩效目标，避免造成 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对昌吉州教学及研究工作发挥引领辐射作用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该指标为满意度指标，设定绩效目标为90%，实际满意度结果为100%，超过设定的目标值，造成偏差。下一步措施：设定绩效目标时进行精准评估，避免造成偏差。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1,086.42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730.05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1,086.42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730.05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2025年机构运行补助经费保障在编教职工300人以上，物业维修面积不85000平方米，计划租用车辆不少于25辆，该项目的实施要确保的教育教学工作正常运转，保障教职工的各种津贴等正常发放。</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730.05万元，资金执行率91.39%，本项目实际保障了302位教职工，4111位学生，22位后勤人员的正常工作及学习方面；通过本项目的实施，确保的教育教学工作正常运转，保障教职工的各种津贴等正常发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&lt;=408.81万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=344.45万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在校教职工满意度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部分教师对政策调整、发放依据、改进方向不了解，容易负面评价，自然偏低</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2025年我校义务教育共有34个教学班，共发放10个月的补助津贴，通过该项目实施，有效提升班主任工作积极性，提高班级管理效率和水平。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13.5万元，资金执行率100%，本项目实际完成义务教育34个教学班，发放10个月的补班主任津贴补助。通过本项目的实施有效提升了班主任工作积极性，提高了班级管理效率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发放班主任数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义务教育班主任覆盖率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班主任津贴基础津贴发放标准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提高班主任工作积极性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部分班主任对政策调整、发放依据、改进方向不了解，容易负面评价，自然偏低，下一年提升服务质量，宣传到位各项要求。</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追加州一中分校教育教学装备采购经费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1,693.06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1,693.06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2025年度计划建设物理化数字实验室19间、打造校史馆1间、通用技术音美功能教室11间。通过项目实施，校园建设结合办学所需，有效提升办学条件，树立典范标准，集中资源办好高品质的高中教育。</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7月25日，本项目支出资金1693.06万元，资金执行率67.72%，本项目实际完成建设理化生实验室19间，打造校史馆1间，采购配套实验设备若干并对校区的各项基础设施进行保养和维修。通过项目实施，校园建设结合办学所需，有效提升办学条件，树立典范标准，集中资源办好高品质的高中教育。</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建设数理化数字实验室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打造校史馆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建设通用技术实验室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由于该项目还未实施，预算资金没有支付，造成偏差率为100%。下一步将督促总务及相关责任部门，加快项目进度。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建设音美功能教室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由于该项目还未实施，预算资金没有支付，造成偏差率为100%。下一步将督促总务及相关负责部门，加快项目进度。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未按时完成指标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该指标为定性指标，由于该项目涉及施工项目多，且项目开始时间晚，项目实施流程复杂，导致许多项目未能按时完成，因此偏差率100%。下一步将督促总务及相关负责部门，加快项目进度。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=1611.59万元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73.52%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截至2026年7月25日，该项目计划建设的通用技术实验室和音美功能室还未完成，资金没有支付，造成偏差。下一步将督促总务及相关负责部门，加快项目进度。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22.57%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由于维修改造项目未完成验收工作，资金没有全部支付完成，造成偏差。下一步将督促总务及相关负责部门，加快项目进度。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校园文化建设费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33.65%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截至2026年7月25日，该项目的文化建设项目尚未完全竣工验收，资金未支付完成，造成偏差。下一步将督促总务及相关负责部门，加快项目进度。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有效提升办学条件及教育教学品质。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该指标设定学生满意度为90%，实际测评满意度为97%，测评满意度高于绩效目标值，造成偏差。下一步措施：今后设定绩效目标时进行准确评估，避免造成偏差。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追加州一中学生校服补助资金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2025年该项目计划由财政补助初一、高一两个年级新生校服款，共1620人，经费由财政补助40%，家长承担60%，每套补助120元， 通过该项目的实施 有效保障初一、高一年级新入学学生统一服装，展现良好的精神面貌。</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截至2025年12月31日，本项目支出资金19.44万元，资金执行率100%，本项目实际完成初一、高一2个年级新生校服款补助共1620人；通过该项目的实施 有效保障初一、高一年级新入学学生统一服装，展现良好的精神面貌。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补助年级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每套校服补助成本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统一着装展现良好的精神面貌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高中生均经费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昌吉回族自治州第一中学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2025年我校高中在校生2297人，按人均1000元/年，预算金额137.59万元，通过该项目实施保障高中教育教学工作正常运转，不断改善办学条件。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截至2025年12月31日，本项目支出资金133.02万元，资金执行率96.68%，本项目实际保障高中在校生2398人正常的教育教学运转；通过本项目的实施，提升学生服务质量，不断改善办学条件。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补助在校生人数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&gt;=2297人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设置目标时人数为计划招生人数，与实际入学人数存在偏差，下一年度设置目标时尽量精准。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年初预算数过于保守，实际支出较少，存在偏差，下一年度预算尽量精准一些。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培训及差旅费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邮电费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保障高中教育教学工作正常运转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不断改善办学条件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参与调查的学生以在校正常学习群体为主，对有意见诉求较多的学生覆盖不足，存选择性偏差。在编制下一年度绩效目标时，结合实际执行能力，将满意度目标值适当上调。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