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昌吉回族自治州第二人民医院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为全州提供各类传染病、地方病的临床诊疗服务，开展各类传染病、地方病防治研究；承担传染病防治专业人员的临床医疗相关技术培训、健康教育；承担公共卫生服务职能及突发事件紧急医疗救援等工作；指导各县市医疗卫生单位开展传染病临床诊疗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昌吉回族自治州第二人民医院无下属预算单位。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2025年度收入总计2,243.95万元，</w:t>
      </w:r>
      <w:r>
        <w:rPr>
          <w:rFonts w:ascii="仿宋_GB2312" w:hAnsi="仿宋_GB2312" w:eastAsia="仿宋_GB2312"/>
          <w:b w:val="0"/>
          <w:sz w:val="32"/>
        </w:rPr>
        <w:t>其中：本年收入合计2,204.56万元，使用非财政拨款结余（含专用结余）0.00万元，年初结转和结余39.39万元。</w:t>
      </w:r>
    </w:p>
    <w:p>
      <w:pPr>
        <w:spacing w:line="580" w:lineRule="exact"/>
        <w:ind w:firstLine="640"/>
        <w:jc w:val="both"/>
      </w:pPr>
      <w:r>
        <w:rPr>
          <w:rFonts w:ascii="仿宋_GB2312" w:hAnsi="仿宋_GB2312" w:eastAsia="仿宋_GB2312"/>
          <w:b/>
          <w:sz w:val="32"/>
        </w:rPr>
        <w:t>2025年度支出总计2,243.95万元，</w:t>
      </w:r>
      <w:r>
        <w:rPr>
          <w:rFonts w:ascii="仿宋_GB2312" w:hAnsi="仿宋_GB2312" w:eastAsia="仿宋_GB2312"/>
          <w:b w:val="0"/>
          <w:sz w:val="32"/>
        </w:rPr>
        <w:t>其中：本年支出合计2,142.65万元，结余分配101.31万元，年末结转和结余0.00万元。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443.39万元，下降16.50%，主要原因是：本年第二人民医院开办运转经费较上年减少，本年减少第二批重大传染病防控经费、中央医疗服务与保障能力提升（医疗卫生机构能力建设、卫生健康人才培养）补助资金，导致经费支出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本年收入2,204.56万元，</w:t>
      </w:r>
      <w:r>
        <w:rPr>
          <w:rFonts w:ascii="仿宋_GB2312" w:hAnsi="仿宋_GB2312" w:eastAsia="仿宋_GB2312"/>
          <w:b w:val="0"/>
          <w:sz w:val="32"/>
        </w:rPr>
        <w:t>其中：财政拨款收入1,696.33万元，占76.95%；上级补助收入0.00万元，占0.00%；事业收入319.59万元，占14.50%；经营收入0.00万元，占0.00%；附属单位上缴收入0.00万元，占0.00%；其他收入188.64万元，占8.56%。</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本年支出2,142.65万元，</w:t>
      </w:r>
      <w:r>
        <w:rPr>
          <w:rFonts w:ascii="仿宋_GB2312" w:hAnsi="仿宋_GB2312" w:eastAsia="仿宋_GB2312"/>
          <w:b w:val="0"/>
          <w:sz w:val="32"/>
        </w:rPr>
        <w:t>其中：基本支出804.74万元，占37.56%；项目支出1,337.90万元，占62.44%；上缴上级支出0.00万元，占0.00%；经营支出0.00万元，占0.00%；对附属单位补助支出0.00万元，占0.00%。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2025年度财政拨款收入总计1,696.33万元，</w:t>
      </w:r>
      <w:r>
        <w:rPr>
          <w:rFonts w:ascii="仿宋_GB2312" w:hAnsi="仿宋_GB2312" w:eastAsia="仿宋_GB2312"/>
          <w:b w:val="0"/>
          <w:sz w:val="32"/>
        </w:rPr>
        <w:t>其中：年初财政拨款结转和结余0.00万元，本年财政拨款收入1,696.33万元。</w:t>
      </w:r>
      <w:r>
        <w:rPr>
          <w:rFonts w:ascii="仿宋_GB2312" w:hAnsi="仿宋_GB2312" w:eastAsia="仿宋_GB2312"/>
          <w:b/>
          <w:sz w:val="32"/>
        </w:rPr>
        <w:t>财政拨款支出总计1,696.33万元，</w:t>
      </w:r>
      <w:r>
        <w:rPr>
          <w:rFonts w:ascii="仿宋_GB2312" w:hAnsi="仿宋_GB2312" w:eastAsia="仿宋_GB2312"/>
          <w:b w:val="0"/>
          <w:sz w:val="32"/>
        </w:rPr>
        <w:t>其中：年末财政拨款结转和结余0.00万元，本年财政拨款支出1,696.33万元。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754.49万元，下降30.79%，主要原因是：本年第二人民医院开办运转经费较上年减少，本年减少第二批重大传染病防控经费、中央医疗服务与保障能力提升（医疗卫生机构能力建设、卫生健康人才培养）补助资金，导致经费支出减少。</w:t>
      </w:r>
      <w:r>
        <w:rPr>
          <w:rFonts w:ascii="仿宋_GB2312" w:hAnsi="仿宋_GB2312" w:eastAsia="仿宋_GB2312"/>
          <w:b/>
          <w:sz w:val="32"/>
        </w:rPr>
        <w:t>与年初预算相比，</w:t>
      </w:r>
      <w:r>
        <w:rPr>
          <w:rFonts w:ascii="仿宋_GB2312" w:hAnsi="仿宋_GB2312" w:eastAsia="仿宋_GB2312"/>
          <w:b w:val="0"/>
          <w:sz w:val="32"/>
        </w:rPr>
        <w:t>年初预算数1,408.51万元，决算数1,696.33万元，预决算差异率20.43%，主要原因是：本年在职人员、编制外人员增加，年中追加人员经费及人员工资、社保、公积金基数调增部分资金，追加2025年中央医疗服务与保障能力提升（公立医院综合改革）补助资金、中央医疗服务与保障能力提升（公立医院综合改革）州本级补助资金、中央重大公共卫生服务补助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医疗卫生健康事业发展、公共卫生等重点支出，体现在有关支出科目中。</w:t>
      </w:r>
    </w:p>
    <w:p>
      <w:pPr>
        <w:spacing w:line="580" w:lineRule="exact"/>
        <w:ind w:firstLine="640"/>
        <w:jc w:val="both"/>
      </w:pPr>
      <w:r>
        <w:rPr>
          <w:rFonts w:ascii="仿宋_GB2312" w:hAnsi="仿宋_GB2312" w:eastAsia="仿宋_GB2312"/>
          <w:b w:val="0"/>
          <w:sz w:val="32"/>
        </w:rPr>
        <w:t>按照支出功能分类，卫生健康支出（类）公立医院（款）综合医院（项）的支出占本年财政拨款支出总额的比重最高，2025年度决算数为1,537.65万元，占比90.65%，主要用于人员工资福利、日常公用经费、关于下达2025年“庭州英才”人才工作经费，机构运行补助经费，2025年中央医疗服务与保障能力提升（公立医院综合改革）补助资金预算的通知项目增加，2025年中央医疗服务与保障能力提升（公立医院综合改革）州本级补助资金项目。</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2025年度一般公共预算财政拨款支出1,696.33万元，</w:t>
      </w:r>
      <w:r>
        <w:rPr>
          <w:rFonts w:ascii="仿宋_GB2312" w:hAnsi="仿宋_GB2312" w:eastAsia="仿宋_GB2312"/>
          <w:b w:val="0"/>
          <w:sz w:val="32"/>
        </w:rPr>
        <w:t>占本年支出合计的79.17%。</w:t>
      </w:r>
      <w:r>
        <w:rPr>
          <w:rFonts w:ascii="仿宋_GB2312" w:hAnsi="仿宋_GB2312" w:eastAsia="仿宋_GB2312"/>
          <w:b/>
          <w:sz w:val="32"/>
        </w:rPr>
        <w:t>与上年相比，</w:t>
      </w:r>
      <w:r>
        <w:rPr>
          <w:rFonts w:ascii="仿宋_GB2312" w:hAnsi="仿宋_GB2312" w:eastAsia="仿宋_GB2312"/>
          <w:b w:val="0"/>
          <w:sz w:val="32"/>
        </w:rPr>
        <w:t>减少754.49万元，下降30.79%，主要原因是：本年第二人民医院开办运转经费较上年减少，本年减少第二批重大传染病防控经费、中央医疗服务与保障能力提升（医疗卫生机构能力建设、卫生健康人才培养）补助资金，导致经费支出减少。</w:t>
      </w:r>
      <w:r>
        <w:rPr>
          <w:rFonts w:ascii="仿宋_GB2312" w:hAnsi="仿宋_GB2312" w:eastAsia="仿宋_GB2312"/>
          <w:b/>
          <w:sz w:val="32"/>
        </w:rPr>
        <w:t>与年初预算相比，</w:t>
      </w:r>
      <w:r>
        <w:rPr>
          <w:rFonts w:ascii="仿宋_GB2312" w:hAnsi="仿宋_GB2312" w:eastAsia="仿宋_GB2312"/>
          <w:b w:val="0"/>
          <w:sz w:val="32"/>
        </w:rPr>
        <w:t>年初预算数1,408.51万元，决算数1,696.33万元，预决算差异率20.43%，主要原因是：本年在职人员、编制外人员增加，年中追加人员经费及人员工资、社保、公积金基数调增部分资金，追加2025年中央医疗服务与保障能力提升（公立医院综合改革）补助资金、中央医疗服务与保障能力提升（公立医院综合改革）州本级补助资金、中央重大公共卫生服务补助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1.社会保障和就业支出（类）63.56万元，占3.75%。</w:t>
      </w:r>
    </w:p>
    <w:p>
      <w:pPr>
        <w:spacing w:line="580" w:lineRule="exact"/>
        <w:ind w:firstLine="640"/>
        <w:jc w:val="both"/>
      </w:pPr>
      <w:r>
        <w:rPr>
          <w:rFonts w:ascii="仿宋_GB2312" w:hAnsi="仿宋_GB2312" w:eastAsia="仿宋_GB2312"/>
          <w:b w:val="0"/>
          <w:sz w:val="32"/>
        </w:rPr>
        <w:t>2.卫生健康支出（类）1,594.25万元，占93.98%。</w:t>
      </w:r>
    </w:p>
    <w:p>
      <w:pPr>
        <w:spacing w:line="580" w:lineRule="exact"/>
        <w:ind w:firstLine="640"/>
        <w:jc w:val="both"/>
      </w:pPr>
      <w:r>
        <w:rPr>
          <w:rFonts w:ascii="仿宋_GB2312" w:hAnsi="仿宋_GB2312" w:eastAsia="仿宋_GB2312"/>
          <w:b w:val="0"/>
          <w:sz w:val="32"/>
        </w:rPr>
        <w:t>3.住房保障支出（类）38.52万元，占2.27%。</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机关事业单位基本养老保险缴费支出（项）：支出决算数为41.83万元，比上年决算增加2.13万元，增长5.37%，主要原因是：本年在职人员增加，养老保险缴费较上年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职业年金缴费支出（项）：支出决算数为21.73万元，比上年决算增加1.04万元，增长5.03%，主要原因是：本年在职人员增加，职业年金缴费较上年增加。</w:t>
      </w:r>
    </w:p>
    <w:p>
      <w:pPr>
        <w:spacing w:line="580" w:lineRule="exact"/>
        <w:ind w:firstLine="640"/>
        <w:jc w:val="both"/>
      </w:pPr>
      <w:r>
        <w:rPr>
          <w:rFonts w:ascii="仿宋_GB2312" w:hAnsi="仿宋_GB2312" w:eastAsia="仿宋_GB2312"/>
          <w:b w:val="0"/>
          <w:sz w:val="32"/>
        </w:rPr>
        <w:t>3.卫生健康支出（类）公立医院（款）综合医院（项）：支出决算数为1,537.65万元，比上年决算减少343.88万元，下降18.28%，主要原因是：本年第二人民医院开办运转经费较上年减少，导致经费支出减少。</w:t>
      </w:r>
    </w:p>
    <w:p>
      <w:pPr>
        <w:spacing w:line="580" w:lineRule="exact"/>
        <w:ind w:firstLine="640"/>
        <w:jc w:val="both"/>
      </w:pPr>
      <w:r>
        <w:rPr>
          <w:rFonts w:ascii="仿宋_GB2312" w:hAnsi="仿宋_GB2312" w:eastAsia="仿宋_GB2312"/>
          <w:b w:val="0"/>
          <w:sz w:val="32"/>
        </w:rPr>
        <w:t>4.卫生健康支出（类）公共卫生（款）重大公共卫生服务（项）：支出决算数为21.98万元，比上年决算减少434.47万元，下降95.18%，主要原因是：本年减少第二批重大传染病防控经费、中央医疗服务与保障能力提升（医疗卫生机构能力建设、卫生健康人才培养）补助资金，导致经费支出减少。</w:t>
      </w:r>
    </w:p>
    <w:p>
      <w:pPr>
        <w:spacing w:line="580" w:lineRule="exact"/>
        <w:ind w:firstLine="640"/>
        <w:jc w:val="both"/>
      </w:pPr>
      <w:r>
        <w:rPr>
          <w:rFonts w:ascii="仿宋_GB2312" w:hAnsi="仿宋_GB2312" w:eastAsia="仿宋_GB2312"/>
          <w:b w:val="0"/>
          <w:sz w:val="32"/>
        </w:rPr>
        <w:t>5.卫生健康支出（类）行政事业单位医疗（款）事业单位医疗（项）：支出决算数为23.49万元，比上年决算增加3.32万元，增长16.46%，主要原因是：本年在职人员增加2名，事业单位医疗支出较上年增加。</w:t>
      </w:r>
    </w:p>
    <w:p>
      <w:pPr>
        <w:spacing w:line="580" w:lineRule="exact"/>
        <w:ind w:firstLine="640"/>
        <w:jc w:val="both"/>
      </w:pPr>
      <w:r>
        <w:rPr>
          <w:rFonts w:ascii="仿宋_GB2312" w:hAnsi="仿宋_GB2312" w:eastAsia="仿宋_GB2312"/>
          <w:b w:val="0"/>
          <w:sz w:val="32"/>
        </w:rPr>
        <w:t>6.卫生健康支出（类）行政事业单位医疗（款）公务员医疗补助（项）：支出决算数为10.85万元，比上年决算增加9.60万元，增长768.00%，主要原因是：本年在职人员增加，公务员医疗补助较上年增加。</w:t>
      </w:r>
    </w:p>
    <w:p>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7.卫生健康支出（类）行政事业单位医疗（款）其他行政事业单位医疗支出（项）：支出决算数为0.27万元，比上年决算增加0.16万元，增长145.45%，主要原因是：本年在职人员增加，大病医疗保险支出较上年增加。</w:t>
      </w:r>
    </w:p>
    <w:p>
      <w:pPr>
        <w:spacing w:line="580" w:lineRule="exact"/>
        <w:ind w:firstLine="640"/>
        <w:jc w:val="both"/>
      </w:pPr>
      <w:r>
        <w:rPr>
          <w:rFonts w:ascii="仿宋_GB2312" w:hAnsi="仿宋_GB2312" w:eastAsia="仿宋_GB2312"/>
          <w:b w:val="0"/>
          <w:sz w:val="32"/>
        </w:rPr>
        <w:t>8.住房保障支出（类）住房改革支出（款）住房公积金（项）：支出决算数为38.52万元，比上年决算增加7.60万元，增长24.58%，主要原因是：本年在职人员增加，住房公积金较上年增加。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2025年度一般公共预算财政拨款基本支出765.35万元，其中：</w:t>
      </w:r>
      <w:r>
        <w:rPr>
          <w:rFonts w:ascii="仿宋_GB2312" w:hAnsi="仿宋_GB2312" w:eastAsia="仿宋_GB2312"/>
          <w:b/>
          <w:sz w:val="32"/>
        </w:rPr>
        <w:t>人员经费631.58万元，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w:t>
      </w:r>
    </w:p>
    <w:p>
      <w:pPr>
        <w:spacing w:line="580" w:lineRule="exact"/>
        <w:ind w:firstLine="640"/>
        <w:jc w:val="both"/>
      </w:pPr>
      <w:r>
        <w:rPr>
          <w:rFonts w:ascii="仿宋_GB2312" w:hAnsi="仿宋_GB2312" w:eastAsia="仿宋_GB2312"/>
          <w:b/>
          <w:sz w:val="32"/>
        </w:rPr>
        <w:t>公用经费133.77万元，</w:t>
      </w:r>
      <w:r>
        <w:rPr>
          <w:rFonts w:ascii="仿宋_GB2312" w:hAnsi="仿宋_GB2312" w:eastAsia="仿宋_GB2312"/>
          <w:b w:val="0"/>
          <w:sz w:val="32"/>
        </w:rPr>
        <w:t>包括：办公费、水费、邮电费、取暖费、差旅费、维修（护）费、公务接待费、工会经费、福利费、公务用车运行维护费、其他商品和服务支出。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2025年度财政拨款“三公”经费支出16.40万元，</w:t>
      </w:r>
      <w:r>
        <w:rPr>
          <w:rFonts w:ascii="仿宋_GB2312" w:hAnsi="仿宋_GB2312" w:eastAsia="仿宋_GB2312"/>
          <w:b w:val="0"/>
          <w:sz w:val="32"/>
        </w:rPr>
        <w:t>比上年减少1.69万元，下降9.34%，主要原因是：严格落实中央八项规定精神，厉行节约，减少公务用车运行维护费。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公务用车购置及运行维护费支出16.24万元，占99.02%，比上年减少1.70万元，下降9.48%，主要原因是：严格落实中央八项规定精神，厉行节约，减少公务用车运行维护费。</w:t>
      </w:r>
      <w:r>
        <w:rPr>
          <w:rFonts w:ascii="仿宋_GB2312" w:hAnsi="仿宋_GB2312" w:eastAsia="仿宋_GB2312"/>
          <w:b w:val="0"/>
          <w:sz w:val="32"/>
        </w:rPr>
        <w:t>公务接待费支出0.16万元，占0.98%，比上年增加0.01万元，增长6.67%，主要原因是：本年因业务需求，增加公务接待工作，导致公务接待费较上年增加。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16.24万元，其中：公务用车购置费0.00万元，公务用车运行维护费16.24万元。公务用车运行维护费开支内容包括车辆加油费、维修费、保险费、审车费、过路费。公务用车购置数0辆，公务用车保有量5辆。国有资产占用情况中固定资产车辆5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公务接待费0.16万元，开支内容包括承办“华佗工程健康药新疆”-2025年新疆昌吉公益行活动，福建中医药大学来院调研产生接待费。单位全年安排的国内公务接待2批次，33人次。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16.40万元，决算数16.40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16.24万元，决算数16.24万元，预决算差异率0.00%，主要原因是：严格按照预算执行，预决算无差异。公务接待费全年预算数0.16万元，决算数0.16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2025年度昌吉回族自治州第二人民医院（事业单位）公用经费支出133.77万元，比上年增加11.91万元，增长9.77%，主要原因是：本年业务量增加，更新、维护补充办公用品，导致公用经费较上年增加。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2025年度政府采购支出总额525.16万元，其中：政府采购货物支出107.39万元、政府采购工程支出0.00万元、政府采购服务支出417.77万元。</w:t>
      </w:r>
    </w:p>
    <w:p>
      <w:pPr>
        <w:spacing w:line="580" w:lineRule="exact"/>
        <w:ind w:firstLine="640"/>
        <w:jc w:val="both"/>
      </w:pPr>
      <w:r>
        <w:rPr>
          <w:rFonts w:ascii="仿宋_GB2312" w:hAnsi="仿宋_GB2312" w:eastAsia="仿宋_GB2312"/>
          <w:b w:val="0"/>
          <w:sz w:val="32"/>
        </w:rPr>
        <w:t>授予中小企业合同金额242.06万元，占政府采购支出总额的46.09%，其中：授予小微企业合同金额218.82万元，占政府采购支出总额的41.67%。</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5辆，价值154.21万元，其中：副部（省）级及以上领导用车0辆、主要负责人用车0辆、机要通信用车0辆、应急保障用车0辆、执法执勤用车0辆、特种专业技术用车4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2,243.95万元，实际执行总额2,142.64万元；预算绩效评价项目8个，全年预算数1,168.42万元，全年执行数1,154.72万元。预算绩效管理取得的成效：一是理念深入人心，从“重分配、轻管理”转向“花钱必问效，无效必问责"，全员绩效意识普遍增强。二是管理体系是日趋健全，实现了绩效目标设定、运行监控、评价及结果应用的全链条管理，覆盖所有财政资金。三是资金使用效益提升，通过将评价结果与预算安排挂钩，有效压减了无效支出，保障了资金向重点项目和民生项目领域倾斜，公共服务质量与资源配置效率得到显著优化。发现的问题及原因：一是绩效目标指标设置不够科学精准。部门整体绩效目标完成情况不佳，年初设定的出院病人、实际开放床位、病床使用率等管理效率指标均未完成。医院于2023年11月才正式投入运营，2025年初编制绩效目标时，缺乏完整上年度运营数据作为参照依据，对自身发展阶段、运营承载能力研判不足，指标设定过于理想化，未结合医院初创期实际运营现状合理测算核定，目标值脱离现实、缺乏合理性与精准性，与日常业务运行实际存在明显偏差，导致既定绩效目标难以落地实现。二是医院运营基础薄弱制约绩效指标达成。医院为新建机构，行业知名度与社会影响力较弱，诊疗业务以传染性、感染性疾病为主，服务病种覆盖面窄、诊疗范围受限；院区地理位置偏远、远离主城区且周边无居民区，自然就诊客源偏少。同时人员队伍以新招录人员为主，缺乏高年资骨干医师和学科带头人，人力资源配置短板突出；医疗设备、后勤物资等硬件保障不到位，信息化建设适配性不足，整体医疗服务水平和综合诊疗能力有限，无法支撑绩效目标任务完成。下一步改进措施：一是全面梳理近运营数据，重点统计出院病人、床位使用等核心数据，建立科学测算模型，结合行业同类新建医院标杆数据，合理核定各项管理效率指标目标值，避免理想化设定。成立绩效目标评审小组，吸纳临床、行政、财务等多部门人员参与，对指标合理性、可行性进行多方论证。建立指标动态调整机制，每季度结合实际运营情况微调指标，确保目标与医院发展阶段、承载能力相匹配，同时加强指标解读培训，让各岗位明确目标要求，为绩效目标落地奠定基础。二是多措并举强化运营基础，提升综合服务能力。加大宣传力度，通过线上平台、社区联动、医联体合作等方式，扩大医院社会影响力，拓宽患者来源渠道。优化人力资源配置，引进高年资医务人员和学科带头人，加强新招录人员岗前培训与在岗进修，提升队伍专业素养。加大硬件投入，补齐设备、物资短板，同步优化信息化建设，贴合临床诊疗和运营管理实际需求。合理拓展诊疗范围，在深耕传染性、感染性疾病诊疗的基础上，适度增加相关配套诊疗服务，同时优化就医流程，提升患者就医体验，增强医院吸引力，助力绩效指标达成。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昌吉回族自治州第二人民医院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76.86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76.86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1,406.51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1,658.85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1,658.85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191.20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508.24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406.93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1,599.71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2,243.95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2,142.64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95.49%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9.55</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以医疗服务提质强基行动为指引，以优质医疗资源均衡布局为引领，以感染性疾病、地方病、传染性疾病为特色，有序提升结核、肝病、布病、传染性血液透析四大专科能力，逐步建成建设结核病诊疗中心、肝病诊疗中心、中西医结合诊疗中心、血液透析诊疗中心，提高昌吉地区感染性、传染性疾病的医疗救治能力，形成覆盖居民常见病、多发病、传染病的专科服务体系，补齐公共卫生短板，切实让广大人民群众共享医疗卫生事业改革发展的成果。力争门诊诊疗达到1500人次；出院病人（含透析）达到600人次；药品收入占业务收入比例控制在20%以内，医疗服务性收入占比≥38%；百元医疗收入（不含药品收入）中卫生耗材在10元以下，年度综合病床使用率不低于60%（按实际开放床位数计算）。年末临床专业组由目前2个增加到6个，增加专科门诊2个，开放床位达到80张；平均住院日≤20天。</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1599.71万元，全年执行数为2142.65万元，总预算执行率为95.49%。2025年我单位完成以下工作内容：1.门急诊人次2292人次；2.出院病人369人次；3.实际开放床位50张；4.开设临床科室6个；5.开设专科门诊2个；6.药品收入占医疗收入比重16.66%；7.医疗服务性收入占医疗收入比重50.63%；8.病床使用率39.51%；通过以上工作的实施，医院的医疗服务能力逐步提升，患者满意度达到90%。</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门急诊人次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&gt;=1500人次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昌吉州第二人民医院2025年度工作计划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2292人次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出院人数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&gt;=600人次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昌吉州第二人民医院2025年度工作计划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369人次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实际开放床位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&gt;=80张</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昌吉州第二人民医院2025年度工作计划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50张</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开设临床科室</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昌吉州第二人民医院2025年度工作计划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开设专科门诊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昌吉州第二人民医院2025年度工作计划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药品收入占医疗收入比重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昌吉州第二人民医院2025年度工作计划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医疗服务性收入占医疗收入比重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昌吉州第二人民医院2025年度工作计划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病床使用率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昌吉州第二人民医院2025年度工作计划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6.58</w:t>
            </w:r>
          </w:p>
        </w:tc>
      </w:tr>
      <w:tr>
        <w:trPr>
          <w:trHeight w:val="74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服务对象满意度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服务患者满意度指标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昌吉州第二人民医院2025年度工作计划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2023年开办运转经费（11月批次）合同尾款</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昌吉回族自治州第二人民医院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359.79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359.79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359.79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359.79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359.79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359.79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项目投入资金359.79万元用于医院信息化系统合同尾款、软件测评及审计费用，使信息化系统及时投入使用，使用正常，提高医院信息化管理水平。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359.79万元，资金执行率100%，本项目实际完成信息化软件及服务流程搭建6项，信息化系统软件测评审计6项验收合格率100%，均已验收入库，正常投入使用。通过实施本项目，提升了医院信息化水平，提高传染病医院诊疗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完成信息化软件及服务搭建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完成信息化系统软件测评、审计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信息化系统验收合格率（%）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信息系统测评、审计完成时间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=2025年6月28日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信息化系统建设成本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&lt;=341.79万元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=341.79万元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信息化系统测评及审计成本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提升传染病医院诊疗能力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服务患者满意度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105.62%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此项指标已完成，存在偏差，偏差率为5.62%，偏差原因为：年初设定满意度指标时较为保守，指标值为90%，本年患者满意度达95.06，故产生偏差。下一年度改进措施：综合考虑各种因素，更加精准的设置指标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2025中央重大公共卫生服务补助-实验室能力建设项目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昌吉回族自治州第二人民医院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院做为州市传染病定点医院，为全州提供各类传染病、地方病的临床诊疗服务，开展各类传染病、地方病防治研究，急需提高传染病诊疗能力。财政投入资金20万元用于实验室能力提升，主要用于配置急需且符合标准的实验室设备全自动酶联免疫工作站一台，补齐实验室设备缺口。</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万元，资金执行率100%，本项目实际完成采购符合标准的实验室设备全自动酶联免疫工作站1台，完成传染病定性检测8项，通过该项目的实施，进一步加强了医院重大传染病尤其是结核病的防控能力，医院传染病诊疗能力及实验室检测能力也得到了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购置全自动酶联免疫工作站</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完成传染病定性检测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专用设备购置成本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传染病防控能力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服务患者满意度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105.62%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此项指标已完成，存在偏差，偏差率为5.62%，偏差原因为：年初设定满意度指标时较为保守，指标值为90%，本年患者满意度达95.06，故产生偏差。下一年度改进措施：综合考虑各种因素，更加精准的设置指标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2025年“庭州英才”人才工作经费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昌吉回族自治州第二人民医院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投入资金3万元，主要用于1名庭州英才高层次人才生活补助2万元，购置开展结核菌素试验药品30支，成本0.4万元，完成结核菌素试验140人次，印刷传染病防治宣传品1500份，成本0.6万元。通过项目的开展，使医院的传染病诊疗能力逐步提升，受益患者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本项目实际完成1名庭州英才高层次人才生活补助，采购结核菌素试验药品30支，完成结核菌素试验140人次，印刷传染病防治宣传品1500份，通过该项目的实施，进一步加强了医院重大传染病尤其是结核病的防控能力，医院传染病诊疗能力及实验室检测能力也得到了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完成结核菌素试验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7.14%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偏差原因分析：年初根据上年完成值设定该指标，本年度结核病人入院人数仅10人，故产生此偏差。下一步改进措施：综合考虑各种因素，更加精准设置指标值。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采购结核菌素专用试剂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&gt;=30支</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此项指标未完成，存在偏差，偏差率为XX%，偏差原因为：XXXX；下一年度改进措施：XXXX。</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补助庭州英才人数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宣传资料印刷数量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&gt;=1500份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药品验收合格率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结核菌素检测完成时间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生活补助标准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宣传品印刷成本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提升传染病诊疗能力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受益患者满意度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2025年中央医疗服务与保障能力提升（传染病实验室检测质量提升）项目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昌吉回族自治州第二人民医院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2025年该项目计划采购实验室检测设备微生物烤片机一台，通过该项目实施，将进一步加强传染病医院实验室检测能力，降低工作人员感染风险。</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1.98万元，资金执行率99%，本项目实际完成采购实验室检测设备微生物烤片机1台，通过该项目的实施，进一步加强了医院重大传染病尤其是结核病的防控能力，医院传染病诊疗能力及实验室检测能力也得到了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购置仪器设备数量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专用设备购置单价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=1.98万元/台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1.00%，偏差原因为：经过招标采购预算价格高于实际购买价格；下一年度改进措施：下一年将通过细化预算编制，集中采购议价，严控需求标准，强化过程管控，建立标准化价格基准库，从源头降低预算单价，实现合理控价，节约成本。</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提升传染病实验室检测能力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服务患者满意度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此项指标已完成，存在偏差，偏差率为-5.6%，偏差原因为： 经过年末门诊和住院患者满意度测评，满意度为95.06%，高于年初设置的90%的目标。；下一年度改进措施：通过满意度测评系统日常数据监测，精准设置满意度指标。。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2025年中央医疗服务与保障能力提升（公立医院综合改革）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昌吉回族自治州第二人民医院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投入资金54.88万元主要用于购置传染病实验室设备全自动化学发光测定仪1台，开展中西医结合治疗相关的治疗设备红外线振光治疗仪1台，微波治疗仪1台、中频电疗仪1台，设备验收合格率100%；改造结核病合并精神病病区680平方米；医疗服务收入占比大于等于30%，基本药物使用率大于等于30%，公立医院平均住院日小于等于9天，通过项目的实施，达到门诊次均药品增幅小于等于5%，住院次均药品增幅小于等于5%，患者满意度大于等于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54.88万元，资金执行率100%，本项目实际完成采购传染病实验室设备全自动化学发光测定仪1台，中西医结合治疗相关的治疗设备红外线振光治疗仪1台，微波治疗仪1台、中频电疗仪1台， 已完成改造结核病合并精神病病区680平方米。通过该项目的实施，进一步加强了医院重大传染病尤其是结核病的防控能力，医院传染病诊疗能力及实验室检测能力也得到了提升。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购置全自动化学发光仪数量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购置红外线振光治疗仪数量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购置微波治疗仪数量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购置中频治疗仪数量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医疗服务收入（不含药品、耗材、检查、化验收入）占公立医院医疗收入的比例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168.77%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本年度我院传染病诊疗专科服务稳步拓展，诊疗类医疗服务收入稳步增长，药品、耗材等管控持续从严，实际收入占比与年初卫健委下达绩效目标存在明显偏差。年初目标设定偏保守，实际业务结构优化成效突出，该指标最终完成率大幅偏高。下一年度改进措施：依托医院运营、收入结构日常监测台账，对标卫健委考核导向，结合传染病专科诊疗特点科学测算目标值。按月追踪医疗服务收入占比变动，动态分析业务结构，精准核定年度绩效指标，缩小目标与实际运营差距。</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完成结核病合并精神病病区改造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&gt;=680平方米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=680平方米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基本药物使用率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135.93%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实际完成情况与年初卫健委下达的绩效目标由偏差。下一年度改进措施：通过满意度测评系统日常数据监测，精准设置满意度指标。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公立医院平均住院日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=19.12天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212.44%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本院为传染病专科医院，部分传染病病程较长，重症患者占比偏高，康复周期无法大幅压缩。年初卫健委下达的平均住院日绩效目标未充分结合专科诊疗特点，标准设置偏严，实际诊疗数据未达到目标要求，实际完成情况与既定目标产生偏差，指标完成率偏低。 下一年度改进措施：依托病案、床位周转常态化监测数据，结合传染病诊疗特性精准申报合理绩效目标。优化诊疗分流与康复管理，持续缩短轻症患者住院时长，缩小实际水平与考核目标之间的差距。</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在规定时间完成补助资金的使用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全自动化学发光仪购置单价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红外线振光治疗仪购置单价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微波治疗仪购置单价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中频治疗仪购置单价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维修改造病区成本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门诊次均药品增幅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426.6%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卫健委下达门诊次均药品增幅绩效目标时采用医疗机构平均标准设定，未充分考量传染病专科诊疗用药刚需。我院接诊传染病患者需规范足量使用抗病毒、抗感染药物，药品支出管控空间有限，实际增幅高于既定控制目标，目标与本院业务现状不符，指标完成率偏低。下一年度改进措施：申报年度绩效目标时结合传染病专科就诊、用药规律提交运营数据，依据本院门诊真实用药情况精准申报适配的增幅管控指标。常态化监测门诊药品使用数据，合理规范用药行为，缩小考核目标与医院实际运营的差距。</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住院次均药品增幅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179.2%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卫健委下达住院次均药品增幅目标时参照全体医疗机构平均水平制定，未兼顾传染病医院诊疗特性。住院患者多需抗病毒、抗感染专项用药，治疗周期用药需求固定，药品支出增幅超出统一管控标准，目标设置与本院实际诊疗情况存在偏差，指标完成率偏低。 下一年度改进措施：下一年申报绩效目标时，梳理本院住院用药历史数据，结合传染病专科诊疗实际精准申报适配指标。持续规范合理用药管控，按月统计住院药品费用变动，同步对接主管部门优化考核标准，贴合医院运营现状。</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服务患者满意度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105.62%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经过年末门诊和住院患者满意度测评，满意度为95.06%，高于年初设置的90%的目标。；下一年度改进措施：通过满意度测评系统日常数据监测，精准设置满意度指标。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76.92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2025年中央医疗服务与保障能力提升（公立医院综合改革）补助资金（第二批）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昌吉回族自治州第二人民医院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投入资金116万元主要用于购置肝病诊断设备肝功能剪切波量化超声诊断仪1台，血液透析滤过机1台，设备验收合格率100%，2025年12月10日前完成设备采购；通过项目的实施，达到门诊次均药品增幅小于等于5%，住院次均药品增幅小于等于5%，住院患者满意度大于等于91%，公立医院医务人员满意度大于等于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已支出116万元，预算执行率100%，本项目已完成购置肝病诊断设备肝功能剪切波量化超声诊断仪1台，血液透析滤过机1台，设备验收合格率100%，通过项目的实施，门诊次均药品增幅达到1.018%，住院患者满意度达到96.8%，医务人员满意度达到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购置肝功能剪切波量化超声诊断仪数量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购置血液透析滤过机数量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肝功能剪切波量化超声诊断仪购置成本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100.55%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血液透析滤过机购置成本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104.17%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偏差原因为：公开招标后，中标单价与预算单价产生差异；下一年度改进措施：在项目实施前，进行更充分的可行性研究和历史数据分析，避免目标设定过于保守或脱离实际，确保绩效目标的科学性和先进性。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公立医院门诊次均费用增幅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公立医院住院次均费用增幅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卫健委下达住院次均药品增幅目标时参照全体医疗机构平均水平制定，未兼顾传染病医院诊疗特性。住院患者多需抗病毒、抗感染专项用药，治疗周期用药需求固定，药品支出增幅超出统一管控标准，目标设置与本院实际诊疗情况存在偏差，指标完成率偏低。 下一年度改进措施：下一年申报绩效目标时，梳理本院住院用药历史数据，结合传染病专科诊疗实际精准申报适配指标。持续规范合理用药管控，按月统计住院药品费用变动，同步对接主管部门优化考核标准，贴合医院运营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公立医院住院患者满意度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106.37%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91%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公立医院医务人员满意度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84.71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昌吉州第二人民医院运转项目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昌吉回族自治州第二人民医院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项目投入资金39.55万元，保障州第二人民医院正常运转所需的做好维保，做好新风系统、负压系统、电梯、专电、消防设施等特种设备的定期维保、后勤人员的劳务派遣，保安保洁外包服务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39.55万元，资金执行率100%，本项目实际完成新风系统、负压系统、电梯、专电、消防设施等特种设备的定期维保、后勤人员的劳务派遣，保安保洁外包服务，招聘劳务派遣、保安保洁人员30人，采购特种设备维保3台，通过该项目的实施，进一步加强了医院重大传染病尤其是结核病的防控能力，医院传染病诊疗能力及实验室检测能力也得到了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招聘劳务派遣、保安保洁人员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特种设备维保数量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设备维保验收合格率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特种设备维保完成时间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2025年4月25日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劳务派遣、保安保法支出成本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&lt;=21.36万元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=21.36万元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设备维保支出成本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&lt;=18.19万元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提高传染病医院诊疗能力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服务患者满意度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此项指标已完成，存在偏差，偏差率为-5.6%，偏差原因为： 经过年末门诊和住院患者满意度测评，满意度为95.06%，高于年初设置的90%的目标。；下一年度改进措施：通过满意度测评系统日常数据监测，精准设置满意度指标。。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昌吉回族自治州第二人民医院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659.20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573.20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559.52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97.61%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454.32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191.20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项目投入资金573.2万元，用于保障医院正常运转所需的办公用品、后勤物资、药品耗材采购，医疗设备年检维保、特种设备维保，水电耗用，劳务派遣、保安保洁、污水、气检测等支出。</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556.98万元，预算执行率97.17%，本项目已完成特种设备维保数量5台，招聘劳务派遣、保安保洁人员27人，办公用品、后勤物资采购、设备维保验收合格率100%，通过实施本项目，提升了传染病医院的后勤保障能力，提高了传染病医院诊疗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医疗设备年检、维保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招聘劳务派遣、保安保洁人数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特种设备维保数量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结核患者住院餐补保障人次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&gt;=6667人次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=6700人次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100.58%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药品、耗材、试剂验收合格率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办公用品、后勤物资验收合格率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设备维保验收合格率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按时完成设备年检、维保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设备设施年检、维修维护成本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&lt;=135.60万元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=123.26万元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招聘劳务派遣、保安保洁成本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结核患者住院餐补成本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药品、耗材、试剂购置成本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&lt;=108.93万元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=108.93万元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办公费、邮电费运行成本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&lt;=19.73万元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=18.39万元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水电费运行成本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&lt;=24.74万元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=24.74万元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标识标牌制作成本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提高传染病医院救治能力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