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CDE1098">
      <w:pPr>
        <w:rPr>
          <w:rFonts w:hint="eastAsia" w:ascii="黑体" w:hAnsi="黑体" w:eastAsia="黑体"/>
          <w:sz w:val="32"/>
          <w:szCs w:val="32"/>
        </w:rPr>
      </w:pPr>
    </w:p>
    <w:p w14:paraId="7E2F62AB">
      <w:pPr>
        <w:jc w:val="center"/>
        <w:rPr>
          <w:rFonts w:hint="eastAsia" w:ascii="方正小标宋_GBK" w:hAnsi="宋体" w:eastAsia="方正小标宋_GBK"/>
          <w:sz w:val="44"/>
          <w:szCs w:val="44"/>
        </w:rPr>
      </w:pPr>
    </w:p>
    <w:p w14:paraId="7AE936F3">
      <w:pPr>
        <w:jc w:val="center"/>
        <w:rPr>
          <w:rFonts w:hint="eastAsia" w:ascii="方正小标宋_GBK" w:hAnsi="宋体" w:eastAsia="方正小标宋_GBK"/>
          <w:sz w:val="44"/>
          <w:szCs w:val="44"/>
        </w:rPr>
      </w:pPr>
    </w:p>
    <w:p w14:paraId="5FEDF9CB">
      <w:pPr>
        <w:jc w:val="center"/>
        <w:rPr>
          <w:rFonts w:hint="eastAsia" w:ascii="方正小标宋_GBK" w:hAnsi="宋体" w:eastAsia="方正小标宋_GBK"/>
          <w:sz w:val="44"/>
          <w:szCs w:val="44"/>
        </w:rPr>
      </w:pPr>
    </w:p>
    <w:p w14:paraId="4794C1C7">
      <w:pPr>
        <w:jc w:val="center"/>
        <w:rPr>
          <w:rFonts w:hint="eastAsia" w:ascii="方正小标宋_GBK" w:hAnsi="宋体" w:eastAsia="方正小标宋_GBK"/>
          <w:sz w:val="44"/>
          <w:szCs w:val="44"/>
        </w:rPr>
      </w:pPr>
    </w:p>
    <w:p w14:paraId="2FB3E0A1">
      <w:pPr>
        <w:spacing w:line="640" w:lineRule="exact"/>
        <w:jc w:val="center"/>
        <w:rPr>
          <w:rFonts w:hint="eastAsia" w:ascii="方正小标宋_GBK" w:hAnsi="宋体" w:eastAsia="方正小标宋_GBK"/>
          <w:sz w:val="44"/>
          <w:szCs w:val="44"/>
        </w:rPr>
      </w:pPr>
      <w:r>
        <w:rPr>
          <w:rFonts w:hint="eastAsia" w:ascii="方正小标宋_GBK" w:hAnsi="宋体" w:eastAsia="方正小标宋_GBK"/>
          <w:sz w:val="44"/>
          <w:szCs w:val="44"/>
        </w:rPr>
        <w:t>昌吉回族自治州残疾人康复就业服务中心（州残疾人辅助器具服务中心）</w:t>
      </w:r>
    </w:p>
    <w:p w14:paraId="55AD8026">
      <w:pPr>
        <w:spacing w:line="640" w:lineRule="exact"/>
        <w:jc w:val="center"/>
        <w:rPr>
          <w:rFonts w:hint="eastAsia" w:ascii="方正小标宋_GBK" w:hAnsi="宋体" w:eastAsia="方正小标宋_GBK"/>
          <w:sz w:val="44"/>
          <w:szCs w:val="44"/>
        </w:rPr>
      </w:pPr>
      <w:r>
        <w:rPr>
          <w:rFonts w:hint="eastAsia" w:ascii="方正小标宋_GBK" w:hAnsi="宋体" w:eastAsia="方正小标宋_GBK"/>
          <w:sz w:val="44"/>
          <w:szCs w:val="44"/>
        </w:rPr>
        <w:t>2025年度部门决算公开说明</w:t>
      </w:r>
      <w:bookmarkStart w:id="0" w:name="_GoBack"/>
      <w:bookmarkEnd w:id="0"/>
      <w:r>
        <w:rPr>
          <w:rFonts w:hint="eastAsia" w:ascii="方正小标宋_GBK" w:hAnsi="宋体" w:eastAsia="方正小标宋_GBK"/>
          <w:sz w:val="44"/>
          <w:szCs w:val="44"/>
        </w:rPr>
        <w:t/>
      </w:r>
    </w:p>
    <w:p w14:paraId="7C1A23FE">
      <w:pPr>
        <w:spacing w:line="600" w:lineRule="exact"/>
        <w:jc w:val="center"/>
        <w:rPr>
          <w:rFonts w:hint="eastAsia" w:ascii="仿宋_GB2312" w:hAnsi="仿宋_GB2312" w:eastAsia="仿宋_GB2312" w:cs="仿宋_GB2312"/>
          <w:bCs/>
          <w:kern w:val="0"/>
          <w:sz w:val="32"/>
          <w:szCs w:val="32"/>
        </w:rPr>
      </w:pPr>
      <w:r>
        <w:rPr>
          <w:rFonts w:hint="eastAsia" w:ascii="方正小标宋_GBK" w:hAnsi="宋体" w:eastAsia="方正小标宋_GBK"/>
          <w:sz w:val="44"/>
          <w:szCs w:val="44"/>
        </w:rPr>
        <w:br w:type="page"/>
      </w:r>
      <w:r>
        <w:rPr>
          <w:rFonts w:hint="eastAsia" w:ascii="仿宋_GB2312" w:hAnsi="仿宋_GB2312" w:eastAsia="仿宋_GB2312" w:cs="仿宋_GB2312"/>
          <w:b/>
          <w:kern w:val="0"/>
          <w:sz w:val="36"/>
          <w:szCs w:val="36"/>
        </w:rPr>
        <w:t>目  录</w:t>
      </w:r>
    </w:p>
    <w:p w14:paraId="11E3C096">
      <w:pPr>
        <w:pStyle w:val="6"/>
        <w:tabs>
          <w:tab w:val="right" w:leader="dot" w:pos="8306"/>
        </w:tabs>
        <w:spacing w:line="60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TOC \o "1-3" \n  \h \u </w:instrText>
      </w:r>
      <w:r>
        <w:rPr>
          <w:rFonts w:hint="eastAsia" w:ascii="仿宋_GB2312" w:hAnsi="仿宋_GB2312" w:eastAsia="仿宋_GB2312" w:cs="仿宋_GB2312"/>
          <w:sz w:val="32"/>
          <w:szCs w:val="32"/>
        </w:rPr>
        <w:fldChar w:fldCharType="separate"/>
      </w:r>
      <w:r>
        <w:fldChar w:fldCharType="begin"/>
      </w:r>
      <w:r>
        <w:instrText xml:space="preserve"> HYPERLINK \l "_Toc31918" </w:instrText>
      </w:r>
      <w:r>
        <w:fldChar w:fldCharType="separate"/>
      </w:r>
      <w:r>
        <w:rPr>
          <w:rFonts w:hint="eastAsia" w:ascii="仿宋_GB2312" w:hAnsi="仿宋_GB2312" w:eastAsia="仿宋_GB2312" w:cs="仿宋_GB2312"/>
          <w:b/>
          <w:bCs/>
          <w:sz w:val="32"/>
          <w:szCs w:val="32"/>
        </w:rPr>
        <w:t>第一部分 单位概况</w:t>
      </w:r>
      <w:r>
        <w:rPr>
          <w:rFonts w:hint="eastAsia" w:ascii="仿宋_GB2312" w:hAnsi="仿宋_GB2312" w:eastAsia="仿宋_GB2312" w:cs="仿宋_GB2312"/>
          <w:b/>
          <w:bCs/>
          <w:sz w:val="32"/>
          <w:szCs w:val="32"/>
        </w:rPr>
        <w:fldChar w:fldCharType="end"/>
      </w:r>
    </w:p>
    <w:p w14:paraId="695FF0F6">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"_Toc2898" </w:instrText>
      </w:r>
      <w:r>
        <w:fldChar w:fldCharType="separate"/>
      </w:r>
      <w:r>
        <w:rPr>
          <w:rFonts w:hint="eastAsia" w:ascii="仿宋_GB2312" w:hAnsi="仿宋_GB2312" w:eastAsia="仿宋_GB2312" w:cs="仿宋_GB2312"/>
          <w:bCs/>
          <w:kern w:val="0"/>
          <w:sz w:val="32"/>
          <w:szCs w:val="32"/>
        </w:rPr>
        <w:t>一、主要职能</w:t>
      </w:r>
      <w:r>
        <w:rPr>
          <w:rFonts w:hint="eastAsia" w:ascii="仿宋_GB2312" w:hAnsi="仿宋_GB2312" w:eastAsia="仿宋_GB2312" w:cs="仿宋_GB2312"/>
          <w:bCs/>
          <w:kern w:val="0"/>
          <w:sz w:val="32"/>
          <w:szCs w:val="32"/>
        </w:rPr>
        <w:fldChar w:fldCharType="end"/>
      </w:r>
    </w:p>
    <w:p w14:paraId="20AC0F98">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"_Toc1387" </w:instrText>
      </w:r>
      <w:r>
        <w:fldChar w:fldCharType="separate"/>
      </w:r>
      <w:r>
        <w:rPr>
          <w:rFonts w:hint="eastAsia" w:ascii="仿宋_GB2312" w:hAnsi="仿宋_GB2312" w:eastAsia="仿宋_GB2312" w:cs="仿宋_GB2312"/>
          <w:bCs/>
          <w:kern w:val="0"/>
          <w:sz w:val="32"/>
          <w:szCs w:val="32"/>
        </w:rPr>
        <w:t>二、机构设置</w:t>
      </w:r>
      <w:r>
        <w:rPr>
          <w:rFonts w:hint="eastAsia" w:ascii="仿宋_GB2312" w:hAnsi="仿宋_GB2312" w:eastAsia="仿宋_GB2312" w:cs="仿宋_GB2312"/>
          <w:bCs/>
          <w:kern w:val="0"/>
          <w:sz w:val="32"/>
          <w:szCs w:val="32"/>
        </w:rPr>
        <w:fldChar w:fldCharType="end"/>
      </w:r>
    </w:p>
    <w:p w14:paraId="03DF0839">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"_Toc7559" </w:instrText>
      </w:r>
      <w:r>
        <w:fldChar w:fldCharType="separate"/>
      </w:r>
      <w:r>
        <w:rPr>
          <w:rFonts w:hint="eastAsia" w:ascii="仿宋_GB2312" w:hAnsi="仿宋_GB2312" w:eastAsia="仿宋_GB2312" w:cs="仿宋_GB2312"/>
          <w:b/>
          <w:bCs/>
          <w:sz w:val="32"/>
          <w:szCs w:val="32"/>
        </w:rPr>
        <w:t>第二部分 部门决算情况说明</w:t>
      </w:r>
      <w:r>
        <w:rPr>
          <w:rFonts w:hint="eastAsia" w:ascii="仿宋_GB2312" w:hAnsi="仿宋_GB2312" w:eastAsia="仿宋_GB2312" w:cs="仿宋_GB2312"/>
          <w:b/>
          <w:bCs/>
          <w:sz w:val="32"/>
          <w:szCs w:val="32"/>
        </w:rPr>
        <w:fldChar w:fldCharType="end"/>
      </w:r>
    </w:p>
    <w:p w14:paraId="1E4B298F">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"_Toc6321" </w:instrText>
      </w:r>
      <w:r>
        <w:fldChar w:fldCharType="separate"/>
      </w:r>
      <w:r>
        <w:rPr>
          <w:rFonts w:hint="eastAsia" w:ascii="仿宋_GB2312" w:hAnsi="仿宋_GB2312" w:eastAsia="仿宋_GB2312" w:cs="仿宋_GB2312"/>
          <w:bCs/>
          <w:kern w:val="0"/>
          <w:sz w:val="32"/>
          <w:szCs w:val="32"/>
        </w:rPr>
        <w:t>一、收入支出决算总体情况说明</w:t>
      </w:r>
      <w:r>
        <w:rPr>
          <w:rFonts w:hint="eastAsia" w:ascii="仿宋_GB2312" w:hAnsi="仿宋_GB2312" w:eastAsia="仿宋_GB2312" w:cs="仿宋_GB2312"/>
          <w:bCs/>
          <w:kern w:val="0"/>
          <w:sz w:val="32"/>
          <w:szCs w:val="32"/>
        </w:rPr>
        <w:fldChar w:fldCharType="end"/>
      </w:r>
    </w:p>
    <w:p w14:paraId="448604E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"_Toc6311" </w:instrText>
      </w:r>
      <w:r>
        <w:fldChar w:fldCharType="separate"/>
      </w:r>
      <w:r>
        <w:rPr>
          <w:rFonts w:hint="eastAsia" w:ascii="仿宋_GB2312" w:hAnsi="仿宋_GB2312" w:eastAsia="仿宋_GB2312" w:cs="仿宋_GB2312"/>
          <w:bCs/>
          <w:kern w:val="0"/>
          <w:sz w:val="32"/>
          <w:szCs w:val="32"/>
        </w:rPr>
        <w:t>二、收入决算情况说明</w:t>
      </w:r>
      <w:r>
        <w:rPr>
          <w:rFonts w:hint="eastAsia" w:ascii="仿宋_GB2312" w:hAnsi="仿宋_GB2312" w:eastAsia="仿宋_GB2312" w:cs="仿宋_GB2312"/>
          <w:bCs/>
          <w:kern w:val="0"/>
          <w:sz w:val="32"/>
          <w:szCs w:val="32"/>
        </w:rPr>
        <w:fldChar w:fldCharType="end"/>
      </w:r>
    </w:p>
    <w:p w14:paraId="6477D7D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"_Toc20629" </w:instrText>
      </w:r>
      <w:r>
        <w:fldChar w:fldCharType="separate"/>
      </w:r>
      <w:r>
        <w:rPr>
          <w:rFonts w:hint="eastAsia" w:ascii="仿宋_GB2312" w:hAnsi="仿宋_GB2312" w:eastAsia="仿宋_GB2312" w:cs="仿宋_GB2312"/>
          <w:bCs/>
          <w:kern w:val="0"/>
          <w:sz w:val="32"/>
          <w:szCs w:val="32"/>
        </w:rPr>
        <w:t>三、支出决算情况说明</w:t>
      </w:r>
      <w:r>
        <w:rPr>
          <w:rFonts w:hint="eastAsia" w:ascii="仿宋_GB2312" w:hAnsi="仿宋_GB2312" w:eastAsia="仿宋_GB2312" w:cs="仿宋_GB2312"/>
          <w:bCs/>
          <w:kern w:val="0"/>
          <w:sz w:val="32"/>
          <w:szCs w:val="32"/>
        </w:rPr>
        <w:fldChar w:fldCharType="end"/>
      </w:r>
    </w:p>
    <w:p w14:paraId="64A0CBA4">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"_Toc7371" </w:instrText>
      </w:r>
      <w:r>
        <w:fldChar w:fldCharType="separate"/>
      </w:r>
      <w:r>
        <w:rPr>
          <w:rFonts w:hint="eastAsia" w:ascii="仿宋_GB2312" w:hAnsi="仿宋_GB2312" w:eastAsia="仿宋_GB2312" w:cs="仿宋_GB2312"/>
          <w:bCs/>
          <w:kern w:val="0"/>
          <w:sz w:val="32"/>
          <w:szCs w:val="32"/>
        </w:rPr>
        <w:t>四、财政拨款收入支出决算总体情况说明</w:t>
      </w:r>
      <w:r>
        <w:rPr>
          <w:rFonts w:hint="eastAsia" w:ascii="仿宋_GB2312" w:hAnsi="仿宋_GB2312" w:eastAsia="仿宋_GB2312" w:cs="仿宋_GB2312"/>
          <w:bCs/>
          <w:kern w:val="0"/>
          <w:sz w:val="32"/>
          <w:szCs w:val="32"/>
        </w:rPr>
        <w:fldChar w:fldCharType="end"/>
      </w:r>
    </w:p>
    <w:p w14:paraId="07B13FA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"_Toc18905" </w:instrText>
      </w:r>
      <w:r>
        <w:fldChar w:fldCharType="separate"/>
      </w:r>
      <w:r>
        <w:rPr>
          <w:rFonts w:hint="eastAsia" w:ascii="仿宋_GB2312" w:hAnsi="仿宋_GB2312" w:eastAsia="仿宋_GB2312" w:cs="仿宋_GB2312"/>
          <w:bCs/>
          <w:kern w:val="0"/>
          <w:sz w:val="32"/>
          <w:szCs w:val="32"/>
        </w:rPr>
        <w:t>五、一般公共预算财政拨款支出决算情况说明</w:t>
      </w:r>
      <w:r>
        <w:rPr>
          <w:rFonts w:hint="eastAsia" w:ascii="仿宋_GB2312" w:hAnsi="仿宋_GB2312" w:eastAsia="仿宋_GB2312" w:cs="仿宋_GB2312"/>
          <w:bCs/>
          <w:kern w:val="0"/>
          <w:sz w:val="32"/>
          <w:szCs w:val="32"/>
        </w:rPr>
        <w:fldChar w:fldCharType="end"/>
      </w:r>
    </w:p>
    <w:p w14:paraId="35E4954F">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"_Toc1165" </w:instrText>
      </w:r>
      <w:r>
        <w:fldChar w:fldCharType="separate"/>
      </w:r>
      <w:r>
        <w:rPr>
          <w:rFonts w:hint="eastAsia" w:ascii="仿宋_GB2312" w:hAnsi="仿宋_GB2312" w:eastAsia="仿宋_GB2312" w:cs="仿宋_GB2312"/>
          <w:sz w:val="32"/>
          <w:szCs w:val="32"/>
        </w:rPr>
        <w:t>（一）一般公共预算财政拨款支出决算总体情况</w:t>
      </w:r>
      <w:r>
        <w:rPr>
          <w:rFonts w:hint="eastAsia" w:ascii="仿宋_GB2312" w:hAnsi="仿宋_GB2312" w:eastAsia="仿宋_GB2312" w:cs="仿宋_GB2312"/>
          <w:sz w:val="32"/>
          <w:szCs w:val="32"/>
        </w:rPr>
        <w:fldChar w:fldCharType="end"/>
      </w:r>
    </w:p>
    <w:p w14:paraId="1D40B9CA">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"_Toc27147" </w:instrText>
      </w:r>
      <w:r>
        <w:fldChar w:fldCharType="separate"/>
      </w:r>
      <w:r>
        <w:rPr>
          <w:rFonts w:hint="eastAsia" w:ascii="仿宋_GB2312" w:hAnsi="仿宋_GB2312" w:eastAsia="仿宋_GB2312" w:cs="仿宋_GB2312"/>
          <w:sz w:val="32"/>
          <w:szCs w:val="32"/>
        </w:rPr>
        <w:t>（二）一般公共预算财政拨款支出决算结构情况</w:t>
      </w:r>
      <w:r>
        <w:rPr>
          <w:rFonts w:hint="eastAsia" w:ascii="仿宋_GB2312" w:hAnsi="仿宋_GB2312" w:eastAsia="仿宋_GB2312" w:cs="仿宋_GB2312"/>
          <w:sz w:val="32"/>
          <w:szCs w:val="32"/>
        </w:rPr>
        <w:fldChar w:fldCharType="end"/>
      </w:r>
    </w:p>
    <w:p w14:paraId="572435CD">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"_Toc10037" </w:instrText>
      </w:r>
      <w:r>
        <w:fldChar w:fldCharType="separate"/>
      </w:r>
      <w:r>
        <w:rPr>
          <w:rFonts w:hint="eastAsia" w:ascii="仿宋_GB2312" w:hAnsi="仿宋_GB2312" w:eastAsia="仿宋_GB2312" w:cs="仿宋_GB2312"/>
          <w:sz w:val="32"/>
          <w:szCs w:val="32"/>
        </w:rPr>
        <w:t>（三）一般公共预算财政拨款支出决算具体情况</w:t>
      </w:r>
      <w:r>
        <w:rPr>
          <w:rFonts w:hint="eastAsia" w:ascii="仿宋_GB2312" w:hAnsi="仿宋_GB2312" w:eastAsia="仿宋_GB2312" w:cs="仿宋_GB2312"/>
          <w:sz w:val="32"/>
          <w:szCs w:val="32"/>
        </w:rPr>
        <w:fldChar w:fldCharType="end"/>
      </w:r>
    </w:p>
    <w:p w14:paraId="2330D4E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"_Toc23415" </w:instrText>
      </w:r>
      <w:r>
        <w:fldChar w:fldCharType="separate"/>
      </w:r>
      <w:r>
        <w:rPr>
          <w:rFonts w:hint="eastAsia" w:ascii="仿宋_GB2312" w:hAnsi="仿宋_GB2312" w:eastAsia="仿宋_GB2312" w:cs="仿宋_GB2312"/>
          <w:bCs/>
          <w:kern w:val="0"/>
          <w:sz w:val="32"/>
          <w:szCs w:val="32"/>
        </w:rPr>
        <w:t>六、一般公共预算财政拨款基本支出决算情况说明</w:t>
      </w:r>
      <w:r>
        <w:rPr>
          <w:rFonts w:hint="eastAsia" w:ascii="仿宋_GB2312" w:hAnsi="仿宋_GB2312" w:eastAsia="仿宋_GB2312" w:cs="仿宋_GB2312"/>
          <w:bCs/>
          <w:kern w:val="0"/>
          <w:sz w:val="32"/>
          <w:szCs w:val="32"/>
        </w:rPr>
        <w:fldChar w:fldCharType="end"/>
      </w:r>
    </w:p>
    <w:p w14:paraId="2363D305">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"_Toc7523" </w:instrText>
      </w:r>
      <w:r>
        <w:fldChar w:fldCharType="separate"/>
      </w:r>
      <w:r>
        <w:rPr>
          <w:rFonts w:hint="eastAsia" w:ascii="仿宋_GB2312" w:hAnsi="仿宋_GB2312" w:eastAsia="仿宋_GB2312" w:cs="仿宋_GB2312"/>
          <w:bCs/>
          <w:kern w:val="0"/>
          <w:sz w:val="32"/>
          <w:szCs w:val="32"/>
        </w:rPr>
        <w:t>七、政府性基金预算财政拨款收入支出决算情况说明</w:t>
      </w:r>
      <w:r>
        <w:rPr>
          <w:rFonts w:hint="eastAsia" w:ascii="仿宋_GB2312" w:hAnsi="仿宋_GB2312" w:eastAsia="仿宋_GB2312" w:cs="仿宋_GB2312"/>
          <w:bCs/>
          <w:kern w:val="0"/>
          <w:sz w:val="32"/>
          <w:szCs w:val="32"/>
        </w:rPr>
        <w:fldChar w:fldCharType="end"/>
      </w:r>
    </w:p>
    <w:p w14:paraId="47A33664">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"_Toc5563" </w:instrText>
      </w:r>
      <w:r>
        <w:fldChar w:fldCharType="separate"/>
      </w:r>
      <w:r>
        <w:rPr>
          <w:rFonts w:hint="eastAsia" w:ascii="仿宋_GB2312" w:hAnsi="仿宋_GB2312" w:eastAsia="仿宋_GB2312" w:cs="仿宋_GB2312"/>
          <w:bCs/>
          <w:kern w:val="0"/>
          <w:sz w:val="32"/>
          <w:szCs w:val="32"/>
        </w:rPr>
        <w:t>八、国有资本经营预算财政拨款收入支出决算情况说明</w:t>
      </w:r>
      <w:r>
        <w:rPr>
          <w:rFonts w:hint="eastAsia" w:ascii="仿宋_GB2312" w:hAnsi="仿宋_GB2312" w:eastAsia="仿宋_GB2312" w:cs="仿宋_GB2312"/>
          <w:bCs/>
          <w:kern w:val="0"/>
          <w:sz w:val="32"/>
          <w:szCs w:val="32"/>
        </w:rPr>
        <w:fldChar w:fldCharType="end"/>
      </w:r>
    </w:p>
    <w:p w14:paraId="5B6A706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"_Toc9161" </w:instrText>
      </w:r>
      <w:r>
        <w:fldChar w:fldCharType="separate"/>
      </w:r>
      <w:r>
        <w:rPr>
          <w:rFonts w:hint="eastAsia" w:ascii="仿宋_GB2312" w:hAnsi="仿宋_GB2312" w:eastAsia="仿宋_GB2312" w:cs="仿宋_GB2312"/>
          <w:bCs/>
          <w:kern w:val="0"/>
          <w:sz w:val="32"/>
          <w:szCs w:val="32"/>
        </w:rPr>
        <w:t>九、财政拨款“三公”经费支出决算情况说明</w:t>
      </w:r>
      <w:r>
        <w:rPr>
          <w:rFonts w:hint="eastAsia" w:ascii="仿宋_GB2312" w:hAnsi="仿宋_GB2312" w:eastAsia="仿宋_GB2312" w:cs="仿宋_GB2312"/>
          <w:bCs/>
          <w:kern w:val="0"/>
          <w:sz w:val="32"/>
          <w:szCs w:val="32"/>
        </w:rPr>
        <w:fldChar w:fldCharType="end"/>
      </w:r>
    </w:p>
    <w:p w14:paraId="1D67ADC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"_Toc16395" </w:instrText>
      </w:r>
      <w:r>
        <w:fldChar w:fldCharType="separate"/>
      </w:r>
      <w:r>
        <w:rPr>
          <w:rFonts w:hint="eastAsia" w:ascii="仿宋_GB2312" w:hAnsi="仿宋_GB2312" w:eastAsia="仿宋_GB2312" w:cs="仿宋_GB2312"/>
          <w:bCs/>
          <w:kern w:val="0"/>
          <w:sz w:val="32"/>
          <w:szCs w:val="32"/>
        </w:rPr>
        <w:t>十、其他重要事项的情况说明</w:t>
      </w:r>
      <w:r>
        <w:rPr>
          <w:rFonts w:hint="eastAsia" w:ascii="仿宋_GB2312" w:hAnsi="仿宋_GB2312" w:eastAsia="仿宋_GB2312" w:cs="仿宋_GB2312"/>
          <w:bCs/>
          <w:kern w:val="0"/>
          <w:sz w:val="32"/>
          <w:szCs w:val="32"/>
        </w:rPr>
        <w:fldChar w:fldCharType="end"/>
      </w:r>
    </w:p>
    <w:p w14:paraId="2D81D31B">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"_Toc21748" </w:instrText>
      </w:r>
      <w:r>
        <w:fldChar w:fldCharType="separate"/>
      </w:r>
      <w:r>
        <w:rPr>
          <w:rFonts w:hint="eastAsia" w:ascii="仿宋_GB2312" w:hAnsi="仿宋_GB2312" w:eastAsia="仿宋_GB2312" w:cs="仿宋_GB2312"/>
          <w:sz w:val="32"/>
          <w:szCs w:val="32"/>
        </w:rPr>
        <w:t>（一）机关运行经费及公用经费支出情况</w:t>
      </w:r>
      <w:r>
        <w:rPr>
          <w:rFonts w:hint="eastAsia" w:ascii="仿宋_GB2312" w:hAnsi="仿宋_GB2312" w:eastAsia="仿宋_GB2312" w:cs="仿宋_GB2312"/>
          <w:sz w:val="32"/>
          <w:szCs w:val="32"/>
        </w:rPr>
        <w:fldChar w:fldCharType="end"/>
      </w:r>
    </w:p>
    <w:p w14:paraId="688C6E4D">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"_Toc25177" </w:instrText>
      </w:r>
      <w:r>
        <w:fldChar w:fldCharType="separate"/>
      </w:r>
      <w:r>
        <w:rPr>
          <w:rFonts w:hint="eastAsia" w:ascii="仿宋_GB2312" w:hAnsi="仿宋_GB2312" w:eastAsia="仿宋_GB2312" w:cs="仿宋_GB2312"/>
          <w:sz w:val="32"/>
          <w:szCs w:val="32"/>
        </w:rPr>
        <w:t>（二）政府采购情况</w:t>
      </w:r>
      <w:r>
        <w:rPr>
          <w:rFonts w:hint="eastAsia" w:ascii="仿宋_GB2312" w:hAnsi="仿宋_GB2312" w:eastAsia="仿宋_GB2312" w:cs="仿宋_GB2312"/>
          <w:sz w:val="32"/>
          <w:szCs w:val="32"/>
        </w:rPr>
        <w:fldChar w:fldCharType="end"/>
      </w:r>
    </w:p>
    <w:p w14:paraId="6E70625A">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"_Toc31294" </w:instrText>
      </w:r>
      <w:r>
        <w:fldChar w:fldCharType="separate"/>
      </w:r>
      <w:r>
        <w:rPr>
          <w:rFonts w:hint="eastAsia" w:ascii="仿宋_GB2312" w:hAnsi="仿宋_GB2312" w:eastAsia="仿宋_GB2312" w:cs="仿宋_GB2312"/>
          <w:sz w:val="32"/>
          <w:szCs w:val="32"/>
        </w:rPr>
        <w:t>（三）国有资产占用情况说明</w:t>
      </w:r>
      <w:r>
        <w:rPr>
          <w:rFonts w:hint="eastAsia" w:ascii="仿宋_GB2312" w:hAnsi="仿宋_GB2312" w:eastAsia="仿宋_GB2312" w:cs="仿宋_GB2312"/>
          <w:sz w:val="32"/>
          <w:szCs w:val="32"/>
        </w:rPr>
        <w:fldChar w:fldCharType="end"/>
      </w:r>
    </w:p>
    <w:p w14:paraId="687A037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"_Toc17664" </w:instrText>
      </w:r>
      <w:r>
        <w:fldChar w:fldCharType="separate"/>
      </w:r>
      <w:r>
        <w:rPr>
          <w:rFonts w:hint="eastAsia" w:ascii="仿宋_GB2312" w:hAnsi="仿宋_GB2312" w:eastAsia="仿宋_GB2312" w:cs="仿宋_GB2312"/>
          <w:bCs/>
          <w:kern w:val="0"/>
          <w:sz w:val="32"/>
          <w:szCs w:val="32"/>
        </w:rPr>
        <w:t>十一、预算绩效的情况说明</w:t>
      </w:r>
      <w:r>
        <w:rPr>
          <w:rFonts w:hint="eastAsia" w:ascii="仿宋_GB2312" w:hAnsi="仿宋_GB2312" w:eastAsia="仿宋_GB2312" w:cs="仿宋_GB2312"/>
          <w:bCs/>
          <w:kern w:val="0"/>
          <w:sz w:val="32"/>
          <w:szCs w:val="32"/>
        </w:rPr>
        <w:fldChar w:fldCharType="end"/>
      </w:r>
    </w:p>
    <w:p w14:paraId="2BE4C8B9">
      <w:pPr>
        <w:spacing w:line="600" w:lineRule="exact"/>
        <w:rPr>
          <w:rFonts w:eastAsia="仿宋_GB2312"/>
        </w:rPr>
      </w:pPr>
      <w:r>
        <w:rPr>
          <w:rFonts w:hint="eastAsia" w:ascii="仿宋_GB2312" w:hAnsi="仿宋_GB2312" w:eastAsia="仿宋_GB2312" w:cs="仿宋_GB2312"/>
          <w:sz w:val="32"/>
          <w:szCs w:val="32"/>
        </w:rPr>
        <w:t>十二、</w:t>
      </w:r>
      <w:r>
        <w:rPr>
          <w:rFonts w:ascii="仿宋_GB2312" w:hAnsi="仿宋_GB2312" w:eastAsia="仿宋_GB2312" w:cs="仿宋_GB2312"/>
          <w:sz w:val="32"/>
          <w:szCs w:val="32"/>
        </w:rPr>
        <w:t>其他需说明的事项</w:t>
      </w:r>
    </w:p>
    <w:p w14:paraId="02F533C8">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"_Toc30038" </w:instrText>
      </w:r>
      <w:r>
        <w:fldChar w:fldCharType="separate"/>
      </w:r>
      <w:r>
        <w:rPr>
          <w:rFonts w:hint="eastAsia" w:ascii="仿宋_GB2312" w:hAnsi="仿宋_GB2312" w:eastAsia="仿宋_GB2312" w:cs="仿宋_GB2312"/>
          <w:b/>
          <w:bCs/>
          <w:sz w:val="32"/>
          <w:szCs w:val="32"/>
        </w:rPr>
        <w:t>第三部分 专业名词解释</w:t>
      </w:r>
      <w:r>
        <w:rPr>
          <w:rFonts w:hint="eastAsia" w:ascii="仿宋_GB2312" w:hAnsi="仿宋_GB2312" w:eastAsia="仿宋_GB2312" w:cs="仿宋_GB2312"/>
          <w:b/>
          <w:bCs/>
          <w:sz w:val="32"/>
          <w:szCs w:val="32"/>
        </w:rPr>
        <w:fldChar w:fldCharType="end"/>
      </w:r>
    </w:p>
    <w:p w14:paraId="13D03994">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"_Toc6831" </w:instrText>
      </w:r>
      <w:r>
        <w:fldChar w:fldCharType="separate"/>
      </w:r>
      <w:r>
        <w:rPr>
          <w:rFonts w:hint="eastAsia" w:ascii="仿宋_GB2312" w:hAnsi="仿宋_GB2312" w:eastAsia="仿宋_GB2312" w:cs="仿宋_GB2312"/>
          <w:b/>
          <w:bCs/>
          <w:sz w:val="32"/>
          <w:szCs w:val="32"/>
        </w:rPr>
        <w:t>第四部分 部门决算报表（见附表）</w:t>
      </w:r>
      <w:r>
        <w:rPr>
          <w:rFonts w:hint="eastAsia" w:ascii="仿宋_GB2312" w:hAnsi="仿宋_GB2312" w:eastAsia="仿宋_GB2312" w:cs="仿宋_GB2312"/>
          <w:b/>
          <w:bCs/>
          <w:sz w:val="32"/>
          <w:szCs w:val="32"/>
        </w:rPr>
        <w:fldChar w:fldCharType="end"/>
      </w:r>
    </w:p>
    <w:p w14:paraId="363DA5E8">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"_Toc3845" </w:instrText>
      </w:r>
      <w:r>
        <w:fldChar w:fldCharType="separate"/>
      </w:r>
      <w:r>
        <w:rPr>
          <w:rFonts w:hint="eastAsia" w:ascii="仿宋_GB2312" w:hAnsi="仿宋_GB2312" w:eastAsia="仿宋_GB2312" w:cs="仿宋_GB2312"/>
          <w:bCs/>
          <w:kern w:val="0"/>
          <w:sz w:val="32"/>
          <w:szCs w:val="32"/>
        </w:rPr>
        <w:t>一、《收入支出决算总表》</w:t>
      </w:r>
      <w:r>
        <w:rPr>
          <w:rFonts w:hint="eastAsia" w:ascii="仿宋_GB2312" w:hAnsi="仿宋_GB2312" w:eastAsia="仿宋_GB2312" w:cs="仿宋_GB2312"/>
          <w:bCs/>
          <w:kern w:val="0"/>
          <w:sz w:val="32"/>
          <w:szCs w:val="32"/>
        </w:rPr>
        <w:fldChar w:fldCharType="end"/>
      </w:r>
    </w:p>
    <w:p w14:paraId="7612762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"_Toc11927" </w:instrText>
      </w:r>
      <w:r>
        <w:fldChar w:fldCharType="separate"/>
      </w:r>
      <w:r>
        <w:rPr>
          <w:rFonts w:hint="eastAsia" w:ascii="仿宋_GB2312" w:hAnsi="仿宋_GB2312" w:eastAsia="仿宋_GB2312" w:cs="仿宋_GB2312"/>
          <w:bCs/>
          <w:kern w:val="0"/>
          <w:sz w:val="32"/>
          <w:szCs w:val="32"/>
        </w:rPr>
        <w:t>二、《收入决算表》</w:t>
      </w:r>
      <w:r>
        <w:rPr>
          <w:rFonts w:hint="eastAsia" w:ascii="仿宋_GB2312" w:hAnsi="仿宋_GB2312" w:eastAsia="仿宋_GB2312" w:cs="仿宋_GB2312"/>
          <w:bCs/>
          <w:kern w:val="0"/>
          <w:sz w:val="32"/>
          <w:szCs w:val="32"/>
        </w:rPr>
        <w:fldChar w:fldCharType="end"/>
      </w:r>
    </w:p>
    <w:p w14:paraId="3D4C3500">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"_Toc7443" </w:instrText>
      </w:r>
      <w:r>
        <w:fldChar w:fldCharType="separate"/>
      </w:r>
      <w:r>
        <w:rPr>
          <w:rFonts w:hint="eastAsia" w:ascii="仿宋_GB2312" w:hAnsi="仿宋_GB2312" w:eastAsia="仿宋_GB2312" w:cs="仿宋_GB2312"/>
          <w:bCs/>
          <w:kern w:val="0"/>
          <w:sz w:val="32"/>
          <w:szCs w:val="32"/>
        </w:rPr>
        <w:t>三、《支出决算表》</w:t>
      </w:r>
      <w:r>
        <w:rPr>
          <w:rFonts w:hint="eastAsia" w:ascii="仿宋_GB2312" w:hAnsi="仿宋_GB2312" w:eastAsia="仿宋_GB2312" w:cs="仿宋_GB2312"/>
          <w:bCs/>
          <w:kern w:val="0"/>
          <w:sz w:val="32"/>
          <w:szCs w:val="32"/>
        </w:rPr>
        <w:fldChar w:fldCharType="end"/>
      </w:r>
    </w:p>
    <w:p w14:paraId="2F9A11B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"_Toc24884" </w:instrText>
      </w:r>
      <w:r>
        <w:fldChar w:fldCharType="separate"/>
      </w:r>
      <w:r>
        <w:rPr>
          <w:rFonts w:hint="eastAsia" w:ascii="仿宋_GB2312" w:hAnsi="仿宋_GB2312" w:eastAsia="仿宋_GB2312" w:cs="仿宋_GB2312"/>
          <w:bCs/>
          <w:kern w:val="0"/>
          <w:sz w:val="32"/>
          <w:szCs w:val="32"/>
        </w:rPr>
        <w:t>四、《财政拨款收入支出决算总表》</w:t>
      </w:r>
      <w:r>
        <w:rPr>
          <w:rFonts w:hint="eastAsia" w:ascii="仿宋_GB2312" w:hAnsi="仿宋_GB2312" w:eastAsia="仿宋_GB2312" w:cs="仿宋_GB2312"/>
          <w:bCs/>
          <w:kern w:val="0"/>
          <w:sz w:val="32"/>
          <w:szCs w:val="32"/>
        </w:rPr>
        <w:fldChar w:fldCharType="end"/>
      </w:r>
    </w:p>
    <w:p w14:paraId="44A5CB8E">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"_Toc16518" </w:instrText>
      </w:r>
      <w:r>
        <w:fldChar w:fldCharType="separate"/>
      </w:r>
      <w:r>
        <w:rPr>
          <w:rFonts w:hint="eastAsia" w:ascii="仿宋_GB2312" w:hAnsi="仿宋_GB2312" w:eastAsia="仿宋_GB2312" w:cs="仿宋_GB2312"/>
          <w:bCs/>
          <w:kern w:val="0"/>
          <w:sz w:val="32"/>
          <w:szCs w:val="32"/>
        </w:rPr>
        <w:t>五、《一般公共预算财政拨款支出决算表》</w:t>
      </w:r>
      <w:r>
        <w:rPr>
          <w:rFonts w:hint="eastAsia" w:ascii="仿宋_GB2312" w:hAnsi="仿宋_GB2312" w:eastAsia="仿宋_GB2312" w:cs="仿宋_GB2312"/>
          <w:bCs/>
          <w:kern w:val="0"/>
          <w:sz w:val="32"/>
          <w:szCs w:val="32"/>
        </w:rPr>
        <w:fldChar w:fldCharType="end"/>
      </w:r>
    </w:p>
    <w:p w14:paraId="277EE406">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"_Toc20514" </w:instrText>
      </w:r>
      <w:r>
        <w:fldChar w:fldCharType="separate"/>
      </w:r>
      <w:r>
        <w:rPr>
          <w:rFonts w:hint="eastAsia" w:ascii="仿宋_GB2312" w:hAnsi="仿宋_GB2312" w:eastAsia="仿宋_GB2312" w:cs="仿宋_GB2312"/>
          <w:bCs/>
          <w:kern w:val="0"/>
          <w:sz w:val="32"/>
          <w:szCs w:val="32"/>
        </w:rPr>
        <w:t>六、《一般公共预算财政拨款基本支出决算表》</w:t>
      </w:r>
      <w:r>
        <w:rPr>
          <w:rFonts w:hint="eastAsia" w:ascii="仿宋_GB2312" w:hAnsi="仿宋_GB2312" w:eastAsia="仿宋_GB2312" w:cs="仿宋_GB2312"/>
          <w:bCs/>
          <w:kern w:val="0"/>
          <w:sz w:val="32"/>
          <w:szCs w:val="32"/>
        </w:rPr>
        <w:fldChar w:fldCharType="end"/>
      </w:r>
    </w:p>
    <w:p w14:paraId="49FE8110">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"_Toc18055" </w:instrText>
      </w:r>
      <w:r>
        <w:fldChar w:fldCharType="separate"/>
      </w:r>
      <w:r>
        <w:rPr>
          <w:rFonts w:hint="eastAsia" w:ascii="仿宋_GB2312" w:hAnsi="仿宋_GB2312" w:eastAsia="仿宋_GB2312" w:cs="仿宋_GB2312"/>
          <w:bCs/>
          <w:kern w:val="0"/>
          <w:sz w:val="32"/>
          <w:szCs w:val="32"/>
        </w:rPr>
        <w:t>七、《政府性基金预算财政拨款收入支出决算表》</w:t>
      </w:r>
      <w:r>
        <w:rPr>
          <w:rFonts w:hint="eastAsia" w:ascii="仿宋_GB2312" w:hAnsi="仿宋_GB2312" w:eastAsia="仿宋_GB2312" w:cs="仿宋_GB2312"/>
          <w:bCs/>
          <w:kern w:val="0"/>
          <w:sz w:val="32"/>
          <w:szCs w:val="32"/>
        </w:rPr>
        <w:fldChar w:fldCharType="end"/>
      </w:r>
    </w:p>
    <w:p w14:paraId="43AA1635">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"_Toc10719" </w:instrText>
      </w:r>
      <w:r>
        <w:fldChar w:fldCharType="separate"/>
      </w:r>
      <w:r>
        <w:rPr>
          <w:rFonts w:hint="eastAsia" w:ascii="仿宋_GB2312" w:hAnsi="仿宋_GB2312" w:eastAsia="仿宋_GB2312" w:cs="仿宋_GB2312"/>
          <w:bCs/>
          <w:kern w:val="0"/>
          <w:sz w:val="32"/>
          <w:szCs w:val="32"/>
        </w:rPr>
        <w:t>八、《国有资本经营预算财政拨款收入支出决算表》</w:t>
      </w:r>
      <w:r>
        <w:rPr>
          <w:rFonts w:hint="eastAsia" w:ascii="仿宋_GB2312" w:hAnsi="仿宋_GB2312" w:eastAsia="仿宋_GB2312" w:cs="仿宋_GB2312"/>
          <w:bCs/>
          <w:kern w:val="0"/>
          <w:sz w:val="32"/>
          <w:szCs w:val="32"/>
        </w:rPr>
        <w:fldChar w:fldCharType="end"/>
      </w:r>
    </w:p>
    <w:p w14:paraId="5D4DF260">
      <w:pPr>
        <w:pStyle w:val="7"/>
        <w:tabs>
          <w:tab w:val="right" w:leader="dot" w:pos="8306"/>
        </w:tabs>
        <w:spacing w:line="600" w:lineRule="exact"/>
        <w:ind w:left="0" w:leftChars="0"/>
        <w:rPr>
          <w:rFonts w:hint="eastAsia" w:ascii="黑体" w:hAnsi="黑体" w:eastAsia="黑体" w:cs="宋体"/>
          <w:bCs/>
          <w:kern w:val="0"/>
          <w:sz w:val="32"/>
          <w:szCs w:val="32"/>
        </w:rPr>
      </w:pPr>
      <w:r>
        <w:fldChar w:fldCharType="begin"/>
      </w:r>
      <w:r>
        <w:instrText xml:space="preserve"> HYPERLINK \l "_Toc18861" </w:instrText>
      </w:r>
      <w:r>
        <w:fldChar w:fldCharType="separate"/>
      </w:r>
      <w:r>
        <w:rPr>
          <w:rFonts w:hint="eastAsia" w:ascii="仿宋_GB2312" w:hAnsi="仿宋_GB2312" w:eastAsia="仿宋_GB2312" w:cs="仿宋_GB2312"/>
          <w:bCs/>
          <w:kern w:val="0"/>
          <w:sz w:val="32"/>
          <w:szCs w:val="32"/>
        </w:rPr>
        <w:t>九、《财政拨款“三公”经费支出决算表》</w:t>
      </w:r>
      <w:r>
        <w:rPr>
          <w:rFonts w:hint="eastAsia" w:ascii="仿宋_GB2312" w:hAnsi="仿宋_GB2312" w:eastAsia="仿宋_GB2312" w:cs="仿宋_GB2312"/>
          <w:bCs/>
          <w:kern w:val="0"/>
          <w:sz w:val="32"/>
          <w:szCs w:val="32"/>
        </w:rPr>
        <w:fldChar w:fldCharType="end"/>
      </w:r>
      <w:r>
        <w:rPr>
          <w:rFonts w:hint="eastAsia" w:ascii="仿宋_GB2312" w:hAnsi="仿宋_GB2312" w:eastAsia="仿宋_GB2312" w:cs="仿宋_GB2312"/>
          <w:sz w:val="32"/>
          <w:szCs w:val="32"/>
        </w:rPr>
        <w:fldChar w:fldCharType="end"/>
      </w:r>
    </w:p>
    <w:p>
      <w:r>
        <w:br w:type="page"/>
      </w:r>
    </w:p>
    <w:p>
      <w:pPr>
        <w:spacing w:line="640" w:lineRule="exact"/>
        <w:jc w:val="center"/>
        <w:outlineLvl w:val="1"/>
      </w:pPr>
      <w:r>
        <w:rPr>
          <w:rFonts w:ascii="黑体" w:hAnsi="黑体" w:eastAsia="黑体"/>
          <w:sz w:val="32"/>
        </w:rPr>
        <w:t>第一部分 单位概况</w:t>
      </w:r>
    </w:p>
    <w:p>
      <w:pPr>
        <w:spacing w:line="640" w:lineRule="exact"/>
        <w:ind w:firstLine="640"/>
        <w:jc w:val="both"/>
        <w:outlineLvl w:val="2"/>
      </w:pPr>
      <w:r>
        <w:rPr>
          <w:rFonts w:ascii="黑体" w:hAnsi="黑体" w:eastAsia="黑体"/>
          <w:sz w:val="32"/>
        </w:rPr>
        <w:t>一、主要职能</w:t>
      </w:r>
    </w:p>
    <w:p>
      <w:pPr>
        <w:spacing w:line="580" w:lineRule="exact"/>
        <w:ind w:firstLine="640"/>
        <w:jc w:val="both"/>
      </w:pPr>
      <w:r>
        <w:rPr>
          <w:rFonts w:ascii="仿宋_GB2312" w:hAnsi="仿宋_GB2312" w:eastAsia="仿宋_GB2312"/>
          <w:sz w:val="32"/>
        </w:rPr>
        <w:t>宣传贯彻《中华人民共和国残疾人保障法》，维护残疾人在政治、经济、文化、社会和家庭生活等方面同其他公民平等的权利，密切联系残疾人，听取残疾人意见，反映残疾人需求，全心全意为残疾人服务。团结、教育残疾人遵守法律，履行应尽义务，发扬乐观进取精神，自尊、自信、自立，为全面建成小康社会，推进现代化建设贡献力量。沟通政府、社会与残疾人之间的联系，宣传残疾人事业，动员社会理解、尊重、关心帮助残疾人。开展和促进残疾人康复、教育、扶贫、劳动就业、维权、文化体育、社会保障和残疾预防等工作，改善残疾人参与社会生活的环境和条件。参与研究，制定和实施残疾人事业的政策、规划和计划，发挥综合、协调、咨询、服务作用，对有关领域的工作进行管理和指导。管理和发放《中华人民共和国残疾人证》。管理和指导各类残疾人群众组织，开展为发展残疾人事业的募捐、助残活动。</w:t>
      </w:r>
    </w:p>
    <w:p>
      <w:pPr>
        <w:spacing w:line="640" w:lineRule="exact"/>
        <w:ind w:firstLine="640"/>
        <w:jc w:val="both"/>
        <w:outlineLvl w:val="2"/>
      </w:pPr>
      <w:r>
        <w:rPr>
          <w:rFonts w:ascii="黑体" w:hAnsi="黑体" w:eastAsia="黑体"/>
          <w:sz w:val="32"/>
        </w:rPr>
        <w:t>二、机构设置</w:t>
      </w:r>
    </w:p>
    <w:p>
      <w:pPr>
        <w:spacing w:line="580" w:lineRule="exact"/>
        <w:ind w:firstLine="640"/>
        <w:jc w:val="both"/>
      </w:pPr>
      <w:r>
        <w:rPr>
          <w:rFonts w:ascii="仿宋_GB2312" w:hAnsi="仿宋_GB2312" w:eastAsia="仿宋_GB2312"/>
          <w:sz w:val="32"/>
        </w:rPr>
        <w:t>昌吉回族自治州残疾人康复就业服务中心（州残疾人辅助器具服务中心）无下属预算单位。</w:t>
      </w:r>
    </w:p>
    <w:p>
      <w:r>
        <w:br w:type="page"/>
      </w:r>
    </w:p>
    <w:p>
      <w:pPr>
        <w:spacing w:line="240" w:lineRule="auto"/>
        <w:jc w:val="center"/>
        <w:outlineLvl w:val="1"/>
      </w:pPr>
      <w:r>
        <w:rPr>
          <w:rFonts w:ascii="黑体" w:hAnsi="黑体" w:eastAsia="黑体"/>
          <w:sz w:val="32"/>
        </w:rPr>
        <w:t>第二部分 部门决算情况说明</w:t>
      </w:r>
    </w:p>
    <w:p>
      <w:pPr>
        <w:spacing w:line="640" w:lineRule="exact"/>
        <w:ind w:firstLine="640"/>
        <w:jc w:val="both"/>
        <w:outlineLvl w:val="2"/>
      </w:pPr>
      <w:r>
        <w:rPr>
          <w:rFonts w:ascii="黑体" w:hAnsi="黑体" w:eastAsia="黑体"/>
          <w:sz w:val="32"/>
        </w:rPr>
        <w:t>一、收入支出决算总体情况说明</w:t>
      </w:r>
    </w:p>
    <w:p>
      <w:pPr>
        <w:spacing w:line="580" w:lineRule="exact"/>
        <w:ind w:firstLine="640"/>
        <w:jc w:val="both"/>
      </w:pPr>
      <w:r>
        <w:rPr>
          <w:rFonts w:ascii="仿宋_GB2312" w:hAnsi="仿宋_GB2312" w:eastAsia="仿宋_GB2312"/>
          <w:b/>
          <w:sz w:val="32"/>
        </w:rPr>
        <w:t>2025年度收入总计311.22万元，</w:t>
      </w:r>
      <w:r>
        <w:rPr>
          <w:rFonts w:ascii="仿宋_GB2312" w:hAnsi="仿宋_GB2312" w:eastAsia="仿宋_GB2312"/>
          <w:b w:val="0"/>
          <w:sz w:val="32"/>
        </w:rPr>
        <w:t>其中：本年收入合计310.85万元，使用非财政拨款结余（含专用结余）0.00万元，年初结转和结余0.37万元。</w:t>
      </w:r>
    </w:p>
    <w:p>
      <w:pPr>
        <w:spacing w:line="580" w:lineRule="exact"/>
        <w:ind w:firstLine="640"/>
        <w:jc w:val="both"/>
      </w:pPr>
      <w:r>
        <w:rPr>
          <w:rFonts w:ascii="仿宋_GB2312" w:hAnsi="仿宋_GB2312" w:eastAsia="仿宋_GB2312"/>
          <w:b/>
          <w:sz w:val="32"/>
        </w:rPr>
        <w:t>2025年度支出总计311.22万元，</w:t>
      </w:r>
      <w:r>
        <w:rPr>
          <w:rFonts w:ascii="仿宋_GB2312" w:hAnsi="仿宋_GB2312" w:eastAsia="仿宋_GB2312"/>
          <w:b w:val="0"/>
          <w:sz w:val="32"/>
        </w:rPr>
        <w:t>其中：本年支出合计310.69万元，结余分配0.00万元，年末结转和结余0.53万元。</w:t>
      </w:r>
    </w:p>
    <w:p>
      <w:pPr>
        <w:spacing w:line="580" w:lineRule="exact"/>
        <w:ind w:firstLine="640"/>
        <w:jc w:val="both"/>
      </w:pPr>
      <w:r>
        <w:rPr>
          <w:rFonts w:ascii="仿宋_GB2312" w:hAnsi="仿宋_GB2312" w:eastAsia="仿宋_GB2312"/>
          <w:b/>
          <w:sz w:val="32"/>
        </w:rPr>
        <w:t>收入支出总体与上年相比，</w:t>
      </w:r>
      <w:r>
        <w:rPr>
          <w:rFonts w:ascii="仿宋_GB2312" w:hAnsi="仿宋_GB2312" w:eastAsia="仿宋_GB2312"/>
          <w:b w:val="0"/>
          <w:sz w:val="32"/>
        </w:rPr>
        <w:t>增加22.73万元，增长7.88%，主要原因是：本年在职人员工资调增，社保、公积金基数调增，人员经费增加。</w:t>
      </w:r>
    </w:p>
    <w:p>
      <w:pPr>
        <w:spacing w:line="640" w:lineRule="exact"/>
        <w:ind w:firstLine="640"/>
        <w:jc w:val="both"/>
        <w:outlineLvl w:val="2"/>
      </w:pPr>
      <w:r>
        <w:rPr>
          <w:rFonts w:ascii="黑体" w:hAnsi="黑体" w:eastAsia="黑体"/>
          <w:sz w:val="32"/>
        </w:rPr>
        <w:t>二、收入决算情况说明</w:t>
      </w:r>
    </w:p>
    <w:p>
      <w:pPr>
        <w:spacing w:line="580" w:lineRule="exact"/>
        <w:ind w:firstLine="640"/>
        <w:jc w:val="both"/>
      </w:pPr>
      <w:r>
        <w:rPr>
          <w:rFonts w:ascii="仿宋_GB2312" w:hAnsi="仿宋_GB2312" w:eastAsia="仿宋_GB2312"/>
          <w:b/>
          <w:sz w:val="32"/>
        </w:rPr>
        <w:t>本年收入310.85万元，</w:t>
      </w:r>
      <w:r>
        <w:rPr>
          <w:rFonts w:ascii="仿宋_GB2312" w:hAnsi="仿宋_GB2312" w:eastAsia="仿宋_GB2312"/>
          <w:b w:val="0"/>
          <w:sz w:val="32"/>
        </w:rPr>
        <w:t>其中：财政拨款收入310.69万元，占99.95%；上级补助收入0.00万元，占0.00%；事业收入0.00万元，占0.00%；经营收入0.00万元，占0.00%；附属单位上缴收入0.00万元，占0.00%；其他收入0.15万元，占0.05%。</w:t>
      </w:r>
    </w:p>
    <w:p>
      <w:pPr>
        <w:spacing w:line="640" w:lineRule="exact"/>
        <w:ind w:firstLine="640"/>
        <w:jc w:val="both"/>
        <w:outlineLvl w:val="2"/>
      </w:pPr>
      <w:r>
        <w:rPr>
          <w:rFonts w:ascii="黑体" w:hAnsi="黑体" w:eastAsia="黑体"/>
          <w:sz w:val="32"/>
        </w:rPr>
        <w:t>三、支出决算情况说明</w:t>
      </w:r>
    </w:p>
    <w:p>
      <w:pPr>
        <w:spacing w:line="580" w:lineRule="exact"/>
        <w:ind w:firstLine="640"/>
        <w:jc w:val="both"/>
      </w:pPr>
      <w:r>
        <w:rPr>
          <w:rFonts w:ascii="仿宋_GB2312" w:hAnsi="仿宋_GB2312" w:eastAsia="仿宋_GB2312"/>
          <w:b/>
          <w:sz w:val="32"/>
        </w:rPr>
        <w:t>本年支出310.69万元，</w:t>
      </w:r>
      <w:r>
        <w:rPr>
          <w:rFonts w:ascii="仿宋_GB2312" w:hAnsi="仿宋_GB2312" w:eastAsia="仿宋_GB2312"/>
          <w:b w:val="0"/>
          <w:sz w:val="32"/>
        </w:rPr>
        <w:t>其中：基本支出310.69万元，占100.00%；项目支出0.00万元，占0.00%；上缴上级支出0.00万元，占0.00%；经营支出0.00万元，占0.00%；对附属单位补助支出0.00万元，占0.00%。</w:t>
      </w:r>
    </w:p>
    <w:p>
      <w:pPr>
        <w:spacing w:line="640" w:lineRule="exact"/>
        <w:ind w:firstLine="640"/>
        <w:jc w:val="both"/>
        <w:outlineLvl w:val="2"/>
      </w:pPr>
      <w:r>
        <w:rPr>
          <w:rFonts w:ascii="黑体" w:hAnsi="黑体" w:eastAsia="黑体"/>
          <w:sz w:val="32"/>
        </w:rPr>
        <w:t>四、财政拨款收入支出决算总体情况说明</w:t>
      </w:r>
    </w:p>
    <w:p>
      <w:pPr>
        <w:spacing w:line="580" w:lineRule="exact"/>
        <w:ind w:firstLine="640"/>
        <w:jc w:val="both"/>
      </w:pPr>
      <w:r>
        <w:rPr>
          <w:rFonts w:ascii="仿宋_GB2312" w:hAnsi="仿宋_GB2312" w:eastAsia="仿宋_GB2312"/>
          <w:b/>
          <w:sz w:val="32"/>
        </w:rPr>
        <w:t>2025年度财政拨款收入总计310.69万元，</w:t>
      </w:r>
      <w:r>
        <w:rPr>
          <w:rFonts w:ascii="仿宋_GB2312" w:hAnsi="仿宋_GB2312" w:eastAsia="仿宋_GB2312"/>
          <w:b w:val="0"/>
          <w:sz w:val="32"/>
        </w:rPr>
        <w:t>其中：年初财政拨款结转和结余0.00万元，本年财政拨款收入310.69万元。</w:t>
      </w:r>
      <w:r>
        <w:rPr>
          <w:rFonts w:ascii="仿宋_GB2312" w:hAnsi="仿宋_GB2312" w:eastAsia="仿宋_GB2312"/>
          <w:b/>
          <w:sz w:val="32"/>
        </w:rPr>
        <w:t>财政拨款支出总计310.69万元，</w:t>
      </w:r>
      <w:r>
        <w:rPr>
          <w:rFonts w:ascii="仿宋_GB2312" w:hAnsi="仿宋_GB2312" w:eastAsia="仿宋_GB2312"/>
          <w:b w:val="0"/>
          <w:sz w:val="32"/>
        </w:rPr>
        <w:t>其中：年末财政拨款结转和结余0.00万元，本年财政拨款支出310.69万元。</w:t>
      </w:r>
    </w:p>
    <w:p>
      <w:pPr>
        <w:spacing w:line="580" w:lineRule="exact"/>
        <w:ind w:firstLine="640"/>
        <w:jc w:val="both"/>
      </w:pPr>
      <w:r>
        <w:rPr>
          <w:rFonts w:ascii="仿宋_GB2312" w:hAnsi="仿宋_GB2312" w:eastAsia="仿宋_GB2312"/>
          <w:b/>
          <w:sz w:val="32"/>
        </w:rPr>
        <w:t>财政拨款收入支出总体与上年相比，</w:t>
      </w:r>
      <w:r>
        <w:rPr>
          <w:rFonts w:ascii="仿宋_GB2312" w:hAnsi="仿宋_GB2312" w:eastAsia="仿宋_GB2312"/>
          <w:b w:val="0"/>
          <w:sz w:val="32"/>
        </w:rPr>
        <w:t>增加22.58万元，增长7.84%，主要原因是：本年在职人员工资调增，社保、公积金基数调增，人员经费增加。</w:t>
      </w:r>
      <w:r>
        <w:rPr>
          <w:rFonts w:ascii="仿宋_GB2312" w:hAnsi="仿宋_GB2312" w:eastAsia="仿宋_GB2312"/>
          <w:b/>
          <w:sz w:val="32"/>
        </w:rPr>
        <w:t>与年初预算相比，</w:t>
      </w:r>
      <w:r>
        <w:rPr>
          <w:rFonts w:ascii="仿宋_GB2312" w:hAnsi="仿宋_GB2312" w:eastAsia="仿宋_GB2312"/>
          <w:b w:val="0"/>
          <w:sz w:val="32"/>
        </w:rPr>
        <w:t>年初预算数264.46万元，决算数310.69万元，预决算差异率17.48%，主要原因是：年中追加了人员工资、社保、公积金基数调增部分资金，导致预决算存在差异。</w:t>
      </w:r>
    </w:p>
    <w:p>
      <w:pPr>
        <w:spacing w:line="640" w:lineRule="exact"/>
        <w:ind w:firstLine="640"/>
        <w:jc w:val="both"/>
        <w:outlineLvl w:val="2"/>
      </w:pPr>
      <w:r>
        <w:rPr>
          <w:rFonts w:ascii="黑体" w:hAnsi="黑体" w:eastAsia="黑体"/>
          <w:sz w:val="32"/>
        </w:rPr>
        <w:t>五、一般公共预算财政拨款支出决算情况说明</w:t>
      </w:r>
    </w:p>
    <w:p>
      <w:pPr>
        <w:spacing w:line="580" w:lineRule="exact"/>
        <w:ind w:firstLine="640"/>
        <w:jc w:val="both"/>
      </w:pPr>
      <w:r>
        <w:rPr>
          <w:rFonts w:ascii="仿宋_GB2312" w:hAnsi="仿宋_GB2312" w:eastAsia="仿宋_GB2312"/>
          <w:b w:val="0"/>
          <w:sz w:val="32"/>
        </w:rPr>
        <w:t>按照党中央、国务院关于党政机关习惯过紧日子的有关要求，厉行节约办一切事业，严控一般性支出。同时坚持有保有压，优化支出结构，提高资金使用效率，合理保障残疾人康复、辅助器具发放、残疾人就业培训等重点支出，体现在有关支出科目中。</w:t>
      </w:r>
    </w:p>
    <w:p>
      <w:pPr>
        <w:spacing w:line="580" w:lineRule="exact"/>
        <w:ind w:firstLine="640"/>
        <w:jc w:val="both"/>
      </w:pPr>
      <w:r>
        <w:rPr>
          <w:rFonts w:ascii="仿宋_GB2312" w:hAnsi="仿宋_GB2312" w:eastAsia="仿宋_GB2312"/>
          <w:b w:val="0"/>
          <w:sz w:val="32"/>
        </w:rPr>
        <w:t>按照支出功能分类，社会保障和就业支出（类）残疾人事业（款）其他残疾人事业支出（项）的支出占本年财政拨款支出总额的比重最高，2025年度决算数为220.84万元，占比71.08%，主要用于单位人员工资福利、社会保障缴费、日常办公运转经费支出。</w:t>
      </w:r>
    </w:p>
    <w:p>
      <w:pPr>
        <w:spacing w:line="640" w:lineRule="exact"/>
        <w:ind w:firstLine="640"/>
        <w:jc w:val="both"/>
        <w:outlineLvl w:val="3"/>
      </w:pPr>
      <w:r>
        <w:rPr>
          <w:rFonts w:ascii="楷体_GB2312" w:hAnsi="楷体_GB2312" w:eastAsia="楷体_GB2312"/>
          <w:b/>
          <w:sz w:val="32"/>
        </w:rPr>
        <w:t>（一）一般公共预算财政拨款支出决算总体情况</w:t>
      </w:r>
    </w:p>
    <w:p>
      <w:pPr>
        <w:spacing w:line="580" w:lineRule="exact"/>
        <w:ind w:firstLine="640"/>
        <w:jc w:val="both"/>
      </w:pPr>
      <w:r>
        <w:rPr>
          <w:rFonts w:ascii="仿宋_GB2312" w:hAnsi="仿宋_GB2312" w:eastAsia="仿宋_GB2312"/>
          <w:b/>
          <w:sz w:val="32"/>
        </w:rPr>
        <w:t>2025年度一般公共预算财政拨款支出310.69万元，</w:t>
      </w:r>
      <w:r>
        <w:rPr>
          <w:rFonts w:ascii="仿宋_GB2312" w:hAnsi="仿宋_GB2312" w:eastAsia="仿宋_GB2312"/>
          <w:b w:val="0"/>
          <w:sz w:val="32"/>
        </w:rPr>
        <w:t>占本年支出合计的100.00%。</w:t>
      </w:r>
      <w:r>
        <w:rPr>
          <w:rFonts w:ascii="仿宋_GB2312" w:hAnsi="仿宋_GB2312" w:eastAsia="仿宋_GB2312"/>
          <w:b/>
          <w:sz w:val="32"/>
        </w:rPr>
        <w:t>与上年相比，</w:t>
      </w:r>
      <w:r>
        <w:rPr>
          <w:rFonts w:ascii="仿宋_GB2312" w:hAnsi="仿宋_GB2312" w:eastAsia="仿宋_GB2312"/>
          <w:b w:val="0"/>
          <w:sz w:val="32"/>
        </w:rPr>
        <w:t>增加22.58万元，增长7.84%，主要原因是：本年在职人员工资调增，社保、公积金基数调增，人员经费增加。</w:t>
      </w:r>
      <w:r>
        <w:rPr>
          <w:rFonts w:ascii="仿宋_GB2312" w:hAnsi="仿宋_GB2312" w:eastAsia="仿宋_GB2312"/>
          <w:b/>
          <w:sz w:val="32"/>
        </w:rPr>
        <w:t>与年初预算相比，</w:t>
      </w:r>
      <w:r>
        <w:rPr>
          <w:rFonts w:ascii="仿宋_GB2312" w:hAnsi="仿宋_GB2312" w:eastAsia="仿宋_GB2312"/>
          <w:b w:val="0"/>
          <w:sz w:val="32"/>
        </w:rPr>
        <w:t>年初预算数264.46万元，决算数310.69万元，预决算差异率17.48%，主要原因是：年中追加人员工资、社保、公积金基数调增部分资金，导致预决算存在差异。</w:t>
      </w:r>
    </w:p>
    <w:p>
      <w:pPr>
        <w:spacing w:line="640" w:lineRule="exact"/>
        <w:ind w:firstLine="640"/>
        <w:jc w:val="both"/>
        <w:outlineLvl w:val="3"/>
      </w:pPr>
      <w:r>
        <w:rPr>
          <w:rFonts w:ascii="楷体_GB2312" w:hAnsi="楷体_GB2312" w:eastAsia="楷体_GB2312"/>
          <w:b/>
          <w:sz w:val="32"/>
        </w:rPr>
        <w:t>（二）一般公共预算财政拨款支出决算结构情况</w:t>
      </w:r>
    </w:p>
    <w:p>
      <w:pPr>
        <w:spacing w:line="580" w:lineRule="exact"/>
        <w:ind w:firstLine="640"/>
        <w:jc w:val="both"/>
      </w:pPr>
      <w:r>
        <w:rPr>
          <w:rFonts w:ascii="仿宋_GB2312" w:hAnsi="仿宋_GB2312" w:eastAsia="仿宋_GB2312"/>
          <w:b w:val="0"/>
          <w:sz w:val="32"/>
        </w:rPr>
        <w:t>1.社会保障和就业支出（类）268.53万元，占86.43%。</w:t>
      </w:r>
    </w:p>
    <w:p>
      <w:pPr>
        <w:spacing w:line="580" w:lineRule="exact"/>
        <w:ind w:firstLine="640"/>
        <w:jc w:val="both"/>
      </w:pPr>
      <w:r>
        <w:rPr>
          <w:rFonts w:ascii="仿宋_GB2312" w:hAnsi="仿宋_GB2312" w:eastAsia="仿宋_GB2312"/>
          <w:b w:val="0"/>
          <w:sz w:val="32"/>
        </w:rPr>
        <w:t>2.卫生健康支出（类）20.35万元，占6.55%。</w:t>
      </w:r>
    </w:p>
    <w:p>
      <w:pPr>
        <w:spacing w:line="580" w:lineRule="exact"/>
        <w:ind w:firstLine="640"/>
        <w:jc w:val="both"/>
      </w:pPr>
      <w:r>
        <w:rPr>
          <w:rFonts w:ascii="仿宋_GB2312" w:hAnsi="仿宋_GB2312" w:eastAsia="仿宋_GB2312"/>
          <w:b w:val="0"/>
          <w:sz w:val="32"/>
        </w:rPr>
        <w:t>3.住房保障支出（类）21.81万元，占7.02%。</w:t>
      </w:r>
    </w:p>
    <w:p>
      <w:pPr>
        <w:spacing w:line="640" w:lineRule="exact"/>
        <w:ind w:firstLine="640"/>
        <w:jc w:val="both"/>
        <w:outlineLvl w:val="3"/>
      </w:pPr>
      <w:r>
        <w:rPr>
          <w:rFonts w:ascii="楷体_GB2312" w:hAnsi="楷体_GB2312" w:eastAsia="楷体_GB2312"/>
          <w:b/>
          <w:sz w:val="32"/>
        </w:rPr>
        <w:t>（三）一般公共预算财政拨款支出决算具体情况</w:t>
      </w:r>
    </w:p>
    <w:p>
      <w:pPr>
        <w:spacing w:line="580" w:lineRule="exact"/>
        <w:ind w:firstLine="640"/>
        <w:jc w:val="both"/>
      </w:pPr>
      <w:r>
        <w:rPr>
          <w:rFonts w:ascii="仿宋_GB2312" w:hAnsi="仿宋_GB2312" w:eastAsia="仿宋_GB2312"/>
          <w:b w:val="0"/>
          <w:sz w:val="32"/>
        </w:rPr>
        <w:t>1.社会保障和就业支出（类）行政事业单位养老支出（款）事业单位离退休（项）：支出决算数为0.30万元，比上年决算减少0.46万元，下降60.53%，主要原因是：本年将退休人员基础绩效奖调整至主科目列支，导致经费较上年减少。</w:t>
      </w:r>
    </w:p>
    <w:p>
      <w:pPr>
        <w:spacing w:line="580" w:lineRule="exact"/>
        <w:ind w:firstLine="640"/>
        <w:jc w:val="both"/>
      </w:pPr>
      <w:r>
        <w:rPr>
          <w:rFonts w:ascii="仿宋_GB2312" w:hAnsi="仿宋_GB2312" w:eastAsia="仿宋_GB2312"/>
          <w:b w:val="0"/>
          <w:sz w:val="32"/>
        </w:rPr>
        <w:t>2.社会保障和就业支出（类）行政事业单位养老支出（款）机关事业单位基本养老保险缴费支出（项）：支出决算数为26.48万元，比上年决算减少1.12万元，下降4.06%，主要原因是：本年在职人员调入调出，人员职级不同，缴费基数不同，导致养老保险缴费较上年减少。</w:t>
      </w:r>
    </w:p>
    <w:p>
      <w:pPr>
        <w:spacing w:line="580" w:lineRule="exact"/>
        <w:ind w:firstLine="640"/>
        <w:jc w:val="both"/>
      </w:pPr>
      <w:r>
        <w:rPr>
          <w:rFonts w:ascii="仿宋_GB2312" w:hAnsi="仿宋_GB2312" w:eastAsia="仿宋_GB2312"/>
          <w:b w:val="0"/>
          <w:sz w:val="32"/>
        </w:rPr>
        <w:t>3.社会保障和就业支出（类）行政事业单位养老支出（款）机关事业单位职业年金缴费支出（项）：支出决算数为20.91万元，比上年决算增加7.11万元，增长51.52%，主要原因是：本年新增退休人员1人，职业年金缴费支出增加。</w:t>
      </w:r>
    </w:p>
    <w:p>
      <w:pPr>
        <w:spacing w:line="580" w:lineRule="exact"/>
        <w:ind w:firstLine="640"/>
        <w:jc w:val="both"/>
      </w:pPr>
      <w:r>
        <w:rPr>
          <w:rFonts w:ascii="仿宋_GB2312" w:hAnsi="仿宋_GB2312" w:eastAsia="仿宋_GB2312"/>
          <w:b w:val="0"/>
          <w:sz w:val="32"/>
        </w:rPr>
        <w:t>4.社会保障和就业支出（类）残疾人事业（款）其他残疾人事业支出（项）：支出决算数为220.84万元，比上年决算增加11.76万元，增长5.62%，主要原因是：本年在职人员工资调增，导致相关人员经费较上年有所增加。</w:t>
      </w:r>
    </w:p>
    <w:p>
      <w:pPr>
        <w:spacing w:line="580" w:lineRule="exact"/>
        <w:ind w:firstLine="640"/>
        <w:jc w:val="both"/>
      </w:pPr>
      <w:r>
        <w:rPr>
          <w:rFonts w:ascii="仿宋_GB2312" w:hAnsi="仿宋_GB2312" w:eastAsia="仿宋_GB2312"/>
          <w:b w:val="0"/>
          <w:sz w:val="32"/>
        </w:rPr>
        <w:t>5.卫生健康支出（类）行政事业单位医疗（款）行政单位医疗（项）：支出决算数为0.00万元，比上年决算减少0.34万元，下降100.00%，主要原因是：本年功能科目调整，行政单位医疗上年度单独列支，本年调整至主科目列支，导致经费较上年减少。</w:t>
      </w:r>
    </w:p>
    <w:p>
      <w:pPr>
        <w:spacing w:line="580" w:lineRule="exact"/>
        <w:ind w:firstLine="640"/>
        <w:jc w:val="both"/>
      </w:pPr>
      <w:r>
        <w:rPr>
          <w:rFonts w:ascii="仿宋_GB2312" w:hAnsi="仿宋_GB2312" w:eastAsia="仿宋_GB2312"/>
          <w:b w:val="0"/>
          <w:sz w:val="32"/>
        </w:rPr>
        <w:t>6.卫生健康支出（类）行政事业单位医疗（款）事业单位医疗（项）：支出决算数为13.32万元，比上年决算减少0.14万元，下降1.04%，主要原因是：本年在职人员调入调出，人员职级不同，缴费基数不同，导致事业单位医疗支出较上年减少。</w:t>
      </w:r>
    </w:p>
    <w:p>
      <w:pPr>
        <w:spacing w:line="580" w:lineRule="exact"/>
        <w:ind w:firstLine="640"/>
        <w:jc w:val="both"/>
      </w:pPr>
      <w:r>
        <w:rPr>
          <w:rFonts w:ascii="仿宋_GB2312" w:hAnsi="仿宋_GB2312" w:eastAsia="仿宋_GB2312"/>
          <w:b w:val="0"/>
          <w:sz w:val="32"/>
        </w:rPr>
        <w:t>7.卫生健康支出（类）行政事业单位医疗（款）公务员医疗补助（项）：支出决算数为6.86万元，比上年决算增加6.00万元，增长697.67%，主要原因是：本年在职人员工资基数调增，医疗缴费基数上涨，相应支出增加。</w:t>
      </w:r>
    </w:p>
    <w:p>
      <w:pPr>
        <w:spacing w:line="580" w:lineRule="exact"/>
        <w:ind w:firstLine="640"/>
        <w:jc w:val="both"/>
      </w:pPr>
      <w:r>
        <w:rPr>
          <w:rFonts w:ascii="仿宋_GB2312" w:hAnsi="仿宋_GB2312" w:eastAsia="仿宋_GB2312"/>
          <w:b w:val="0"/>
          <w:sz w:val="32"/>
        </w:rPr>
        <w:t>8.卫生健康支出（类）行政事业单位医疗（款）其他行政事业单位医疗支出（项）：支出决算数为0.17万元，比上年决算增加0.07万元，增长70.00%，主要原因是：本年在职人员工资基数调增，医疗缴费基数上涨，相应支出增加。</w:t>
      </w:r>
    </w:p>
    <w:p>
      <w:pPr>
        <w:spacing w:line="580" w:lineRule="exact"/>
        <w:ind w:firstLine="640"/>
        <w:jc w:val="both"/>
      </w:pPr>
      <w:r>
        <w:rPr>
          <w:rFonts w:ascii="仿宋_GB2312" w:hAnsi="仿宋_GB2312" w:eastAsia="仿宋_GB2312"/>
          <w:b w:val="0"/>
          <w:sz w:val="32"/>
        </w:rPr>
        <w:t>9.住房保障支出（类）住房改革支出（款）住房公积金（项）：支出决算数为21.81万元，比上年决算减少0.30万元，下降1.36%，主要原因是：本年在职人员调入调出，人员职级不同，缴费基数不同，导致住房公积金较上年减少。</w:t>
      </w:r>
    </w:p>
    <w:p>
      <w:pPr>
        <w:spacing w:line="640" w:lineRule="exact"/>
        <w:ind w:firstLine="640"/>
        <w:jc w:val="both"/>
        <w:outlineLvl w:val="2"/>
      </w:pPr>
      <w:r>
        <w:rPr>
          <w:rFonts w:ascii="黑体" w:hAnsi="黑体" w:eastAsia="黑体"/>
          <w:sz w:val="32"/>
        </w:rPr>
        <w:t>六、一般公共预算财政拨款基本支出决算情况说明</w:t>
      </w:r>
    </w:p>
    <w:p>
      <w:pPr>
        <w:spacing w:line="580" w:lineRule="exact"/>
        <w:ind w:firstLine="640"/>
        <w:jc w:val="both"/>
      </w:pPr>
      <w:r>
        <w:rPr>
          <w:rFonts w:ascii="仿宋_GB2312" w:hAnsi="仿宋_GB2312" w:eastAsia="仿宋_GB2312"/>
          <w:b w:val="0"/>
          <w:sz w:val="32"/>
        </w:rPr>
        <w:t>2025年度一般公共预算财政拨款基本支出310.69万元，其中：</w:t>
      </w:r>
      <w:r>
        <w:rPr>
          <w:rFonts w:ascii="仿宋_GB2312" w:hAnsi="仿宋_GB2312" w:eastAsia="仿宋_GB2312"/>
          <w:b/>
          <w:sz w:val="32"/>
        </w:rPr>
        <w:t>人员经费290.45万元，</w:t>
      </w:r>
      <w:r>
        <w:rPr>
          <w:rFonts w:ascii="仿宋_GB2312" w:hAnsi="仿宋_GB2312" w:eastAsia="仿宋_GB2312"/>
          <w:b w:val="0"/>
          <w:sz w:val="32"/>
        </w:rPr>
        <w:t>包括：基本工资、津贴补贴、奖金、绩效工资、机关事业单位基本养老保险缴费、职业年金缴费、职工基本医疗保险缴费、公务员医疗补助缴费、其他社会保障缴费、住房公积金、退休费、奖励金。</w:t>
      </w:r>
    </w:p>
    <w:p>
      <w:pPr>
        <w:spacing w:line="580" w:lineRule="exact"/>
        <w:ind w:firstLine="640"/>
        <w:jc w:val="both"/>
      </w:pPr>
      <w:r>
        <w:rPr>
          <w:rFonts w:ascii="仿宋_GB2312" w:hAnsi="仿宋_GB2312" w:eastAsia="仿宋_GB2312"/>
          <w:b/>
          <w:sz w:val="32"/>
        </w:rPr>
        <w:t>公用经费20.24万元，</w:t>
      </w:r>
      <w:r>
        <w:rPr>
          <w:rFonts w:ascii="仿宋_GB2312" w:hAnsi="仿宋_GB2312" w:eastAsia="仿宋_GB2312"/>
          <w:b w:val="0"/>
          <w:sz w:val="32"/>
        </w:rPr>
        <w:t>包括：办公费、印刷费、差旅费、维修（护）费、工会经费、福利费、公务用车运行维护费、其他交通费用、其他商品和服务支出。</w:t>
      </w:r>
    </w:p>
    <w:p>
      <w:pPr>
        <w:spacing w:line="640" w:lineRule="exact"/>
        <w:ind w:firstLine="640"/>
        <w:jc w:val="both"/>
        <w:outlineLvl w:val="2"/>
      </w:pPr>
      <w:r>
        <w:rPr>
          <w:rFonts w:ascii="黑体" w:hAnsi="黑体" w:eastAsia="黑体"/>
          <w:sz w:val="32"/>
        </w:rPr>
        <w:t>七、政府性基金预算财政拨款收入支出决算情况说明</w:t>
      </w:r>
    </w:p>
    <w:p>
      <w:pPr>
        <w:spacing w:line="580" w:lineRule="exact"/>
        <w:ind w:firstLine="640"/>
        <w:jc w:val="both"/>
      </w:pPr>
      <w:r>
        <w:rPr>
          <w:rFonts w:ascii="仿宋_GB2312" w:hAnsi="仿宋_GB2312" w:eastAsia="仿宋_GB2312"/>
          <w:b w:val="0"/>
          <w:sz w:val="32"/>
        </w:rPr>
        <w:t>本单位本年度无政府性基金预算财政拨款收入、支出及结转和结余，政府性基金预算财政拨款收入支出决算表为空表。</w:t>
      </w:r>
    </w:p>
    <w:p>
      <w:pPr>
        <w:spacing w:line="640" w:lineRule="exact"/>
        <w:ind w:firstLine="640"/>
        <w:jc w:val="both"/>
        <w:outlineLvl w:val="2"/>
      </w:pPr>
      <w:r>
        <w:rPr>
          <w:rFonts w:ascii="黑体" w:hAnsi="黑体" w:eastAsia="黑体"/>
          <w:sz w:val="32"/>
        </w:rPr>
        <w:t>八、国有资本经营预算财政拨款收入支出决算情况说明</w:t>
      </w:r>
    </w:p>
    <w:p>
      <w:pPr>
        <w:spacing w:line="580" w:lineRule="exact"/>
        <w:ind w:firstLine="640"/>
        <w:jc w:val="both"/>
      </w:pPr>
      <w:r>
        <w:rPr>
          <w:rFonts w:ascii="仿宋_GB2312" w:hAnsi="仿宋_GB2312" w:eastAsia="仿宋_GB2312"/>
          <w:b w:val="0"/>
          <w:sz w:val="32"/>
        </w:rPr>
        <w:t>本单位本年度无国有资本经营预算财政拨款收入、支出及结转和结余，国有资本经营预算财政拨款收入支出决算表为空表。</w:t>
      </w:r>
    </w:p>
    <w:p>
      <w:pPr>
        <w:spacing w:line="640" w:lineRule="exact"/>
        <w:ind w:firstLine="640"/>
        <w:jc w:val="both"/>
        <w:outlineLvl w:val="2"/>
      </w:pPr>
      <w:r>
        <w:rPr>
          <w:rFonts w:ascii="黑体" w:hAnsi="黑体" w:eastAsia="黑体"/>
          <w:sz w:val="32"/>
        </w:rPr>
        <w:t>九、财政拨款“三公”经费支出决算情况说明</w:t>
      </w:r>
    </w:p>
    <w:p>
      <w:pPr>
        <w:spacing w:line="580" w:lineRule="exact"/>
        <w:ind w:firstLine="640"/>
        <w:jc w:val="both"/>
      </w:pPr>
      <w:r>
        <w:rPr>
          <w:rFonts w:ascii="仿宋_GB2312" w:hAnsi="仿宋_GB2312" w:eastAsia="仿宋_GB2312"/>
          <w:b/>
          <w:sz w:val="32"/>
        </w:rPr>
        <w:t>2025年度财政拨款“三公”经费支出2.30万元，</w:t>
      </w:r>
      <w:r>
        <w:rPr>
          <w:rFonts w:ascii="仿宋_GB2312" w:hAnsi="仿宋_GB2312" w:eastAsia="仿宋_GB2312"/>
          <w:b w:val="0"/>
          <w:sz w:val="32"/>
        </w:rPr>
        <w:t>比上年增加0.00万元，增长0.00%，主要原因是：本单位财政拨款“三公”经费与上年一致无变化。</w:t>
      </w:r>
      <w:r>
        <w:rPr>
          <w:rFonts w:ascii="仿宋_GB2312" w:hAnsi="仿宋_GB2312" w:eastAsia="仿宋_GB2312"/>
          <w:b w:val="0"/>
          <w:sz w:val="32"/>
        </w:rPr>
        <w:t>其中：因公出国（境）费用支出0.00万元，占0.00%，比上年增加0.00万元，增长0.00%，主要原因是：2024年与2025年均无因公出国（境）费用支出。</w:t>
      </w:r>
      <w:r>
        <w:rPr>
          <w:rFonts w:ascii="仿宋_GB2312" w:hAnsi="仿宋_GB2312" w:eastAsia="仿宋_GB2312"/>
          <w:b w:val="0"/>
          <w:sz w:val="32"/>
        </w:rPr>
        <w:t>公务用车购置及运行维护费支出2.30万元，占100.00%，比上年增加0.00万元，增长0.00%，主要原因是：本单位公务用车购置及运行维护费与上年一致无变化。</w:t>
      </w:r>
      <w:r>
        <w:rPr>
          <w:rFonts w:ascii="仿宋_GB2312" w:hAnsi="仿宋_GB2312" w:eastAsia="仿宋_GB2312"/>
          <w:b w:val="0"/>
          <w:sz w:val="32"/>
        </w:rPr>
        <w:t>公务接待费支出0.00万元，占0.00%，比上年增加0.00万元，增长0.00%，主要原因是：2024年与2025年均无公务接待费支出。</w:t>
      </w:r>
    </w:p>
    <w:p>
      <w:pPr>
        <w:spacing w:line="580" w:lineRule="exact"/>
        <w:ind w:firstLine="640"/>
        <w:jc w:val="both"/>
      </w:pPr>
      <w:r>
        <w:rPr>
          <w:rFonts w:ascii="仿宋_GB2312" w:hAnsi="仿宋_GB2312" w:eastAsia="仿宋_GB2312"/>
          <w:b/>
          <w:sz w:val="32"/>
        </w:rPr>
        <w:t>具体情况如下：</w:t>
      </w:r>
    </w:p>
    <w:p>
      <w:pPr>
        <w:spacing w:line="580" w:lineRule="exact"/>
        <w:ind w:firstLine="640"/>
        <w:jc w:val="both"/>
      </w:pPr>
      <w:r>
        <w:rPr>
          <w:rFonts w:ascii="仿宋_GB2312" w:hAnsi="仿宋_GB2312" w:eastAsia="仿宋_GB2312"/>
          <w:b w:val="0"/>
          <w:sz w:val="32"/>
        </w:rPr>
        <w:t>因公出国（境）费用0.00万元，开支内容包括本单位无因公出国（境）费用。单位全年安排的因公出国（境）团组0个，因公出国（境）0人次。</w:t>
      </w:r>
    </w:p>
    <w:p>
      <w:pPr>
        <w:spacing w:line="580" w:lineRule="exact"/>
        <w:ind w:firstLine="640"/>
        <w:jc w:val="both"/>
      </w:pPr>
      <w:r>
        <w:rPr>
          <w:rFonts w:ascii="仿宋_GB2312" w:hAnsi="仿宋_GB2312" w:eastAsia="仿宋_GB2312"/>
          <w:b w:val="0"/>
          <w:sz w:val="32"/>
        </w:rPr>
        <w:t>公务用车购置及运行维护费2.30万元，其中：公务用车购置费0.00万元，公务用车运行维护费2.30万元。公务用车运行维护费开支内容包括车辆加油费、维修费、保险费、审车费、过路费。公务用车购置数0辆，公务用车保有量2辆。国有资产占用情况中固定资产车辆2辆，与公务用车保有量差异原因是：本单位公务用车保有量与固定资产车辆一致无差异。</w:t>
      </w:r>
    </w:p>
    <w:p>
      <w:pPr>
        <w:spacing w:line="580" w:lineRule="exact"/>
        <w:ind w:firstLine="640"/>
        <w:jc w:val="both"/>
      </w:pPr>
      <w:r>
        <w:rPr>
          <w:rFonts w:ascii="仿宋_GB2312" w:hAnsi="仿宋_GB2312" w:eastAsia="仿宋_GB2312"/>
          <w:b w:val="0"/>
          <w:sz w:val="32"/>
        </w:rPr>
        <w:t>公务接待费0.00万元，开支内容包括本单位无公务接待费。单位全年安排的国内公务接待0批次，0人次。</w:t>
      </w:r>
    </w:p>
    <w:p>
      <w:pPr>
        <w:spacing w:line="580" w:lineRule="exact"/>
        <w:ind w:firstLine="640"/>
        <w:jc w:val="both"/>
      </w:pPr>
      <w:r>
        <w:rPr>
          <w:rFonts w:ascii="仿宋_GB2312" w:hAnsi="仿宋_GB2312" w:eastAsia="仿宋_GB2312"/>
          <w:b/>
          <w:sz w:val="32"/>
        </w:rPr>
        <w:t>与全年预算相比，</w:t>
      </w:r>
      <w:r>
        <w:rPr>
          <w:rFonts w:ascii="仿宋_GB2312" w:hAnsi="仿宋_GB2312" w:eastAsia="仿宋_GB2312"/>
          <w:b w:val="0"/>
          <w:sz w:val="32"/>
        </w:rPr>
        <w:t>财政拨款“三公”经费支出全年预算数2.30万元，决算数2.30万元，预决算差异率0.00%，主要原因是：严格按照预算执行，预决算无差异。其中：因公出国（境）费用全年预算数0.00万元，决算数0.00万元，预决算差异率0.00%，主要原因是：本单位无因公出国（境）费用。公务用车购置费全年预算数0.00万元，决算数0.00万元，预决算差异率0.00%，主要原因是：本单位无公务用车购置费。公务用车运行维护费全年预算数2.30万元，决算数2.30万元，预决算差异率0.00%，主要原因是：严格按照预算执行，预决算无差异。公务接待费全年预算数0.00万元，决算数0.00万元，预决算差异率0.00%，主要原因是：本单位无公务接待费。</w:t>
      </w:r>
    </w:p>
    <w:p>
      <w:pPr>
        <w:spacing w:line="640" w:lineRule="exact"/>
        <w:ind w:firstLine="640"/>
        <w:jc w:val="both"/>
        <w:outlineLvl w:val="2"/>
      </w:pPr>
      <w:r>
        <w:rPr>
          <w:rFonts w:ascii="黑体" w:hAnsi="黑体" w:eastAsia="黑体"/>
          <w:sz w:val="32"/>
        </w:rPr>
        <w:t>十、其他重要事项的情况说明</w:t>
      </w:r>
    </w:p>
    <w:p>
      <w:pPr>
        <w:spacing w:line="640" w:lineRule="exact"/>
        <w:ind w:firstLine="640"/>
        <w:jc w:val="both"/>
        <w:outlineLvl w:val="3"/>
      </w:pPr>
      <w:r>
        <w:rPr>
          <w:rFonts w:ascii="楷体_GB2312" w:hAnsi="楷体_GB2312" w:eastAsia="楷体_GB2312"/>
          <w:b/>
          <w:sz w:val="32"/>
        </w:rPr>
        <w:t>（一）机关运行经费及公用经费支出情况</w:t>
      </w:r>
    </w:p>
    <w:p>
      <w:pPr>
        <w:spacing w:line="580" w:lineRule="exact"/>
        <w:ind w:firstLine="640"/>
        <w:jc w:val="both"/>
      </w:pPr>
      <w:r>
        <w:rPr>
          <w:rFonts w:ascii="仿宋_GB2312" w:hAnsi="仿宋_GB2312" w:eastAsia="仿宋_GB2312"/>
          <w:b w:val="0"/>
          <w:sz w:val="32"/>
        </w:rPr>
        <w:t>2025年度昌吉回族自治州残疾人康复就业服务中心（州残疾人辅助器具服务中心）（事业单位）公用经费支出20.24万元，比上年减少0.02万元，下降0.10%，主要原因是：严格控制公用经费，合理节约办公用品，减少不必要开支。</w:t>
      </w:r>
    </w:p>
    <w:p>
      <w:pPr>
        <w:spacing w:line="640" w:lineRule="exact"/>
        <w:ind w:firstLine="640"/>
        <w:jc w:val="both"/>
        <w:outlineLvl w:val="3"/>
      </w:pPr>
      <w:r>
        <w:rPr>
          <w:rFonts w:ascii="楷体_GB2312" w:hAnsi="楷体_GB2312" w:eastAsia="楷体_GB2312"/>
          <w:b/>
          <w:sz w:val="32"/>
        </w:rPr>
        <w:t>（二）政府采购情况</w:t>
      </w:r>
    </w:p>
    <w:p>
      <w:pPr>
        <w:spacing w:line="580" w:lineRule="exact"/>
        <w:ind w:firstLine="640"/>
        <w:jc w:val="both"/>
      </w:pPr>
      <w:r>
        <w:rPr>
          <w:rFonts w:ascii="仿宋_GB2312" w:hAnsi="仿宋_GB2312" w:eastAsia="仿宋_GB2312"/>
          <w:b w:val="0"/>
          <w:sz w:val="32"/>
        </w:rPr>
        <w:t>2025年度政府采购支出总额16.58万元，其中：政府采购货物支出13.28万元、政府采购工程支出0.00万元、政府采购服务支出3.30万元。</w:t>
      </w:r>
    </w:p>
    <w:p>
      <w:pPr>
        <w:spacing w:line="580" w:lineRule="exact"/>
        <w:ind w:firstLine="640"/>
        <w:jc w:val="both"/>
      </w:pPr>
      <w:r>
        <w:rPr>
          <w:rFonts w:ascii="仿宋_GB2312" w:hAnsi="仿宋_GB2312" w:eastAsia="仿宋_GB2312"/>
          <w:b w:val="0"/>
          <w:sz w:val="32"/>
        </w:rPr>
        <w:t>授予中小企业合同金额16.58万元，占政府采购支出总额的100.00%，其中：授予小微企业合同金额16.58万元，占政府采购支出总额的100.00%。</w:t>
      </w:r>
    </w:p>
    <w:p>
      <w:pPr>
        <w:spacing w:line="640" w:lineRule="exact"/>
        <w:ind w:firstLine="640"/>
        <w:jc w:val="both"/>
        <w:outlineLvl w:val="3"/>
      </w:pPr>
      <w:r>
        <w:rPr>
          <w:rFonts w:ascii="楷体_GB2312" w:hAnsi="楷体_GB2312" w:eastAsia="楷体_GB2312"/>
          <w:b/>
          <w:sz w:val="32"/>
        </w:rPr>
        <w:t>（三）国有资产占用情况说明</w:t>
      </w:r>
    </w:p>
    <w:p>
      <w:pPr>
        <w:spacing w:line="580" w:lineRule="exact"/>
        <w:ind w:firstLine="640"/>
        <w:jc w:val="both"/>
      </w:pPr>
      <w:r>
        <w:rPr>
          <w:rFonts w:ascii="仿宋_GB2312" w:hAnsi="仿宋_GB2312" w:eastAsia="仿宋_GB2312"/>
          <w:b w:val="0"/>
          <w:sz w:val="32"/>
        </w:rPr>
        <w:t>截至2025年12月31日，房屋0.00平方米，价值0.00万元。车辆2辆，价值90.45万元，其中：副部（省）级及以上领导用车0辆、主要负责人用车0辆、机要通信用车0辆、应急保障用车0辆、执法执勤用车0辆、特种专业技术用车1辆、离退休干部服务用车0辆、其他用车1辆，其他用车主要是：一般公务用车。单价100万元（含）以上设备（不含车辆）0台（套）。</w:t>
      </w:r>
    </w:p>
    <w:p>
      <w:pPr>
        <w:spacing w:line="640" w:lineRule="exact"/>
        <w:ind w:firstLine="640"/>
        <w:jc w:val="both"/>
        <w:outlineLvl w:val="2"/>
      </w:pPr>
      <w:r>
        <w:rPr>
          <w:rFonts w:ascii="黑体" w:hAnsi="黑体" w:eastAsia="黑体"/>
          <w:sz w:val="32"/>
        </w:rPr>
        <w:t>十一、预算绩效的情况说明</w:t>
      </w:r>
    </w:p>
    <w:p>
      <w:pPr>
        <w:spacing w:line="580" w:lineRule="exact"/>
        <w:ind w:firstLine="640"/>
        <w:jc w:val="both"/>
      </w:pPr>
      <w:r>
        <w:rPr>
          <w:rFonts w:ascii="仿宋_GB2312" w:hAnsi="仿宋_GB2312" w:eastAsia="仿宋_GB2312"/>
          <w:b w:val="0"/>
          <w:sz w:val="32"/>
        </w:rPr>
        <w:t>根据预算绩效管理要求，本单位2025年度预算绩效管理形成整体支出绩效自评表1个，全年预算总额311.22万元，实际执行总额310.69万元；预算绩效评价项目0个，全年预算数0.00万元，全年执行数0.00万元。预算绩效管理取得的成效：本单位无项目绩效。发现的问题及原因：本单位无项目绩效。下一步改进措施：本单位无项目绩效。具体附整体支出绩效自评表。</w:t>
      </w:r>
    </w:p>
    <w:p>
      <w:r>
        <w:br w:type="page"/>
      </w:r>
    </w:p>
    <w:tbl>
      <w:tblPr>
        <w:tblW w:type="pct" w:w="5000"/>
        <w:tblLayout w:type="fixed"/>
        <w:tblLook w:firstColumn="1" w:firstRow="1" w:lastColumn="0" w:lastRow="0" w:noHBand="0" w:noVBand="1" w:val="04A0"/>
        <w:tblCellMar>
          <w:top w:w="36" w:type="dxa"/>
          <w:left w:w="36" w:type="dxa"/>
          <w:bottom w:w="36" w:type="dxa"/>
          <w:right w:w="36" w:type="dxa"/>
        </w:tblCellMar>
      </w:tblPr>
      <w:tblGrid>
        <w:gridCol w:w="477"/>
        <w:gridCol w:w="1187"/>
        <w:gridCol w:w="1256"/>
        <w:gridCol w:w="1226"/>
        <w:gridCol w:w="994"/>
        <w:gridCol w:w="1032"/>
        <w:gridCol w:w="794"/>
        <w:gridCol w:w="935"/>
        <w:gridCol w:w="942"/>
      </w:tblGrid>
      <w:tr>
        <w:trPr>
          <w:trHeight w:val="522" w:hRule="atLeast"/>
          <w:cantSplit/>
        </w:trPr>
        <w:tc>
          <w:tcPr>
            <w:tcW w:type="dxa" w:w="983"/>
            <w:gridSpan w:val="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部门（单位）整体支出绩效目标自评表</w:t>
            </w:r>
          </w:p>
        </w:tc>
      </w:tr>
      <w:tr>
        <w:trPr>
          <w:trHeight w:val="360" w:hRule="atLeast"/>
          <w:cantSplit/>
        </w:trPr>
        <w:tc>
          <w:tcPr>
            <w:tcW w:type="dxa" w:w="983"/>
            <w:gridSpan w:val="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660" w:hRule="atLeast"/>
          <w:cantSplit/>
        </w:trPr>
        <w:tc>
          <w:tcPr>
            <w:tcW w:type="dxa" w:w="98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部门（单位）名称</w:t>
            </w:r>
          </w:p>
        </w:tc>
        <w:tc>
          <w:tcPr>
            <w:tcW w:type="dxa" w:w="98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昌吉回族自治州残疾人康复就业服务中心（州残疾人辅助器具服务中心）</w:t>
            </w:r>
          </w:p>
        </w:tc>
      </w:tr>
      <w:tr>
        <w:trPr>
          <w:trHeight w:val="570" w:hRule="atLeast"/>
          <w:cantSplit/>
        </w:trPr>
        <w:tc>
          <w:tcPr>
            <w:tcW w:type="dxa" w:w="98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部门资金（万元）</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资金来源</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年初预算数</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全年预算数</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全年执行数</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分值权重</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执行率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得分</w:t>
            </w:r>
          </w:p>
        </w:tc>
      </w:tr>
      <w:tr>
        <w:trPr>
          <w:trHeight w:val="880" w:hRule="atLeast"/>
          <w:cantSplit/>
        </w:trPr>
        <w:tc>
          <w:tcPr>
            <w:tcW w:type="dxa" w:w="983"/>
            <w:gridSpan w:val="2"/>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上级资金</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r>
      <w:tr>
        <w:trPr>
          <w:trHeight w:val="880" w:hRule="atLeast"/>
          <w:cantSplit/>
        </w:trPr>
        <w:tc>
          <w:tcPr>
            <w:tcW w:type="dxa" w:w="983"/>
            <w:gridSpan w:val="2"/>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本级资金</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264.46</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311.22</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310.69</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r>
      <w:tr>
        <w:trPr>
          <w:trHeight w:val="880" w:hRule="atLeast"/>
          <w:cantSplit/>
        </w:trPr>
        <w:tc>
          <w:tcPr>
            <w:tcW w:type="dxa" w:w="983"/>
            <w:gridSpan w:val="2"/>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其他资金</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r>
      <w:tr>
        <w:trPr>
          <w:trHeight w:val="880" w:hRule="atLeast"/>
          <w:cantSplit/>
        </w:trPr>
        <w:tc>
          <w:tcPr>
            <w:tcW w:type="dxa" w:w="983"/>
            <w:gridSpan w:val="2"/>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合计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264.46</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311.22</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310.69</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99.83%</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9.98</w:t>
            </w:r>
          </w:p>
        </w:tc>
      </w:tr>
      <w:tr>
        <w:trPr>
          <w:trHeight w:val="705" w:hRule="atLeast"/>
          <w:cantSplit/>
        </w:trPr>
        <w:tc>
          <w:tcPr>
            <w:tcW w:type="dxa" w:w="98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年度总体目标</w:t>
            </w:r>
          </w:p>
        </w:tc>
        <w:tc>
          <w:tcPr>
            <w:tcW w:type="dxa" w:w="983"/>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预期目标</w:t>
            </w:r>
          </w:p>
        </w:tc>
        <w:tc>
          <w:tcPr>
            <w:tcW w:type="dxa" w:w="98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实际完成情况</w:t>
            </w:r>
          </w:p>
        </w:tc>
      </w:tr>
      <w:tr>
        <w:trPr>
          <w:trHeight w:val="2000" w:hRule="atLeast"/>
        </w:trPr>
        <w:tc>
          <w:tcPr>
            <w:tcW w:type="dxa" w:w="983"/>
            <w:gridSpan w:val="2"/>
            <w:vMerge/>
            <w:tcBorders>
              <w:start w:sz="10" w:val="single"/>
              <w:top w:sz="10" w:val="single"/>
              <w:end w:sz="10" w:val="single"/>
              <w:bottom w:sz="10" w:val="single"/>
              <w:insideV w:sz="10" w:val="single"/>
            </w:tcBorders>
          </w:tcPr>
          <w:p/>
        </w:tc>
        <w:tc>
          <w:tcPr>
            <w:tcW w:type="dxa" w:w="983"/>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州残疾人劳动就业服务部坚持以习近平新时代中国特色社会主义思想为指导，深入学习贯彻党的二十大和二十届三中全会精神，完整准确全面贯彻新时代党的治疆方略，紧紧围绕州党委中心工作，积极服务自治州改革发展稳定大局，聚焦残疾人急难愁盼问题，进一步完善残疾人社会保障制度和关爱服务体系，全面落实惠残扶残政策，精准实施助残项目，广泛开展公益助残，促进残疾人平等充分参与社会和残疾人事业高质量发展，为建设中国式现代化新疆实践的典范地州作出应有贡献。全面摸查有培训需求的残疾人信息，稳步推进自助互助康复服务推广工作。贯彻落实《全国残联干部教育培训工作实施方案（2024-2028年）》教育培训工作，学习先进经验做法，拓展思维，提升工作水平，努力开创新时代残疾人事业发展新局面。1.实施残疾人日间照料服务49人，按照《自治区“十四五”阳关家园》实施方案要求，推进全州295人困难残疾人居家照护服务工作，配合有关部门做好就业援助月活动，力争全年新增残疾人就业210人，实施残疾人精准康复服务行动，为1830名有康复需求的残疾人提供康复服务。通过一系列工作，强化了残疾人权益保障，解决了残疾人急难愁盼问题，保障了残疾人事业持续健康安全发展。</w:t>
            </w:r>
          </w:p>
        </w:tc>
        <w:tc>
          <w:tcPr>
            <w:tcW w:type="dxa" w:w="98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我单位全年预算数为311.22万元，全年执行数311.22万元，执行率100%。2025年我单位完成以下工作：摸查有培训需求的残疾人人数200人，为有需求的残疾人提供康复服务人数1830人，完成基本辅助器具适配服务人数1260人，新增残疾人就业247人，完成困难残疾人无障碍改造104户，开展宣传教育月活动1次，完成在职干部专业知识培训5次，全面完成当年工作任务。</w:t>
            </w:r>
          </w:p>
        </w:tc>
      </w:tr>
      <w:tr>
        <w:trPr>
          <w:trHeight w:val="580" w:hRule="atLeast"/>
          <w:cantSplit/>
        </w:trPr>
        <w:tc>
          <w:tcPr>
            <w:tcW w:type="dxa" w:w="983"/>
            <w:gridSpan w:val="2"/>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一级指标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二级指标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三级指标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预期指标值</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指标值设定依据</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分值权重</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实际完成指标值</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得分</w:t>
            </w:r>
          </w:p>
        </w:tc>
      </w:tr>
      <w:tr>
        <w:trPr>
          <w:trHeight w:val="740" w:hRule="atLeast"/>
          <w:cantSplit/>
        </w:trPr>
        <w:tc>
          <w:tcPr>
            <w:tcW w:type="dxa" w:w="98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履职效能</w:t>
            </w:r>
          </w:p>
        </w:tc>
        <w:tc>
          <w:tcPr>
            <w:tcW w:type="dxa" w:w="98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摸查有培训需求的残疾人人数</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&gt;=120人</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2025年工作要点</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200人</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w:t>
            </w:r>
          </w:p>
        </w:tc>
      </w:tr>
      <w:tr>
        <w:trPr>
          <w:trHeight w:val="740" w:hRule="atLeast"/>
          <w:cantSplit/>
        </w:trPr>
        <w:tc>
          <w:tcPr>
            <w:tcW w:type="dxa" w:w="983"/>
            <w:gridSpan w:val="2"/>
            <w:vMerge/>
            <w:tcBorders>
              <w:start w:sz="10" w:val="single"/>
              <w:top w:sz="10" w:val="single"/>
              <w:end w:sz="10" w:val="single"/>
              <w:bottom w:sz="10" w:val="single"/>
              <w:insideV w:sz="10" w:val="single"/>
            </w:tcBorders>
          </w:tcPr>
          <w:p/>
        </w:tc>
        <w:tc>
          <w:tcPr>
            <w:tcW w:type="dxa" w:w="983"/>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为有康复需求的残疾人提供康复服务人数</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&gt;=1830人</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2025年工作要点</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1830人</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w:t>
            </w:r>
          </w:p>
        </w:tc>
      </w:tr>
      <w:tr>
        <w:trPr>
          <w:trHeight w:val="740" w:hRule="atLeast"/>
          <w:cantSplit/>
        </w:trPr>
        <w:tc>
          <w:tcPr>
            <w:tcW w:type="dxa" w:w="983"/>
            <w:gridSpan w:val="2"/>
            <w:vMerge/>
            <w:tcBorders>
              <w:start w:sz="10" w:val="single"/>
              <w:top w:sz="10" w:val="single"/>
              <w:end w:sz="10" w:val="single"/>
              <w:bottom w:sz="10" w:val="single"/>
              <w:insideV w:sz="10" w:val="single"/>
            </w:tcBorders>
          </w:tcPr>
          <w:p/>
        </w:tc>
        <w:tc>
          <w:tcPr>
            <w:tcW w:type="dxa" w:w="983"/>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为残疾人提供基本辅助器具适配服务人数</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&gt;=894人</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2025年工作要点</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1260人</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w:t>
            </w:r>
          </w:p>
        </w:tc>
      </w:tr>
      <w:tr>
        <w:trPr>
          <w:trHeight w:val="740" w:hRule="atLeast"/>
          <w:cantSplit/>
        </w:trPr>
        <w:tc>
          <w:tcPr>
            <w:tcW w:type="dxa" w:w="983"/>
            <w:gridSpan w:val="2"/>
            <w:vMerge/>
            <w:tcBorders>
              <w:start w:sz="10" w:val="single"/>
              <w:top w:sz="10" w:val="single"/>
              <w:end w:sz="10" w:val="single"/>
              <w:bottom w:sz="10" w:val="single"/>
              <w:insideV w:sz="10" w:val="single"/>
            </w:tcBorders>
          </w:tcPr>
          <w:p/>
        </w:tc>
        <w:tc>
          <w:tcPr>
            <w:tcW w:type="dxa" w:w="983"/>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新增残疾人就业人数</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&gt;=210人</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2025年工作要点</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247人</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w:t>
            </w:r>
          </w:p>
        </w:tc>
      </w:tr>
      <w:tr>
        <w:trPr>
          <w:trHeight w:val="740" w:hRule="atLeast"/>
          <w:cantSplit/>
        </w:trPr>
        <w:tc>
          <w:tcPr>
            <w:tcW w:type="dxa" w:w="983"/>
            <w:gridSpan w:val="2"/>
            <w:vMerge/>
            <w:tcBorders>
              <w:start w:sz="10" w:val="single"/>
              <w:top w:sz="10" w:val="single"/>
              <w:end w:sz="10" w:val="single"/>
              <w:bottom w:sz="10" w:val="single"/>
              <w:insideV w:sz="10" w:val="single"/>
            </w:tcBorders>
          </w:tcPr>
          <w:p/>
        </w:tc>
        <w:tc>
          <w:tcPr>
            <w:tcW w:type="dxa" w:w="983"/>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完成困难重度残疾人无障碍改造任务户数</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&gt;=100户</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2025年重点工作任务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104户</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w:t>
            </w:r>
          </w:p>
        </w:tc>
      </w:tr>
      <w:tr>
        <w:trPr>
          <w:trHeight w:val="740" w:hRule="atLeast"/>
          <w:cantSplit/>
        </w:trPr>
        <w:tc>
          <w:tcPr>
            <w:tcW w:type="dxa" w:w="983"/>
            <w:gridSpan w:val="2"/>
            <w:vMerge/>
            <w:tcBorders>
              <w:start w:sz="10" w:val="single"/>
              <w:top w:sz="10" w:val="single"/>
              <w:end w:sz="10" w:val="single"/>
              <w:bottom w:sz="10" w:val="single"/>
              <w:insideV w:sz="10" w:val="single"/>
            </w:tcBorders>
          </w:tcPr>
          <w:p/>
        </w:tc>
        <w:tc>
          <w:tcPr>
            <w:tcW w:type="dxa" w:w="983"/>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组织开展宣传教育月活动次数</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2025年工作要点、活动实施方案</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w:t>
            </w:r>
          </w:p>
        </w:tc>
      </w:tr>
      <w:tr>
        <w:trPr>
          <w:trHeight w:val="740" w:hRule="atLeast"/>
          <w:cantSplit/>
        </w:trPr>
        <w:tc>
          <w:tcPr>
            <w:tcW w:type="dxa" w:w="983"/>
            <w:gridSpan w:val="2"/>
            <w:vMerge/>
            <w:tcBorders>
              <w:start w:sz="10" w:val="single"/>
              <w:top w:sz="10" w:val="single"/>
              <w:end w:sz="10" w:val="single"/>
              <w:bottom w:sz="10" w:val="single"/>
              <w:insideV w:sz="10" w:val="single"/>
            </w:tcBorders>
          </w:tcPr>
          <w:p/>
        </w:tc>
        <w:tc>
          <w:tcPr>
            <w:tcW w:type="dxa" w:w="983"/>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参加残联干部职工培训次数</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2025年工作要点、培训通知</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w:t>
            </w:r>
          </w:p>
        </w:tc>
      </w:tr>
    </w:tbl>
    <w:p>
      <w:r>
        <w:br w:type="page"/>
      </w:r>
    </w:p>
    <w:p>
      <w:pPr>
        <w:spacing w:line="640" w:lineRule="exact"/>
        <w:ind w:firstLine="640"/>
        <w:jc w:val="both"/>
        <w:outlineLvl w:val="2"/>
      </w:pPr>
      <w:r>
        <w:rPr>
          <w:rFonts w:ascii="黑体" w:hAnsi="黑体" w:eastAsia="黑体"/>
          <w:sz w:val="32"/>
        </w:rPr>
        <w:t>十二、其他需说明的事项</w:t>
      </w:r>
    </w:p>
    <w:p>
      <w:pPr>
        <w:spacing w:line="580" w:lineRule="exact"/>
        <w:ind w:firstLine="640"/>
        <w:jc w:val="both"/>
      </w:pPr>
      <w:r>
        <w:rPr>
          <w:rFonts w:ascii="仿宋_GB2312" w:hAnsi="仿宋_GB2312" w:eastAsia="仿宋_GB2312"/>
          <w:b w:val="0"/>
          <w:sz w:val="32"/>
        </w:rPr>
        <w:t>本单位无其他需说明的事项。</w:t>
      </w:r>
    </w:p>
    <w:p>
      <w:r>
        <w:br w:type="page"/>
      </w:r>
    </w:p>
    <w:p>
      <w:pPr>
        <w:spacing w:lineRule="exact" w:line="600"/>
        <w:jc w:val="center"/>
        <w:outlineLvl w:val="0"/>
      </w:pPr>
      <w:r>
        <w:rPr>
          <w:rFonts w:ascii="黑体" w:hAnsi="黑体" w:eastAsia="黑体"/>
          <w:sz w:val="32"/>
        </w:rPr>
        <w:t>第三部分 专业名词解释</w:t>
      </w:r>
    </w:p>
    <w:p>
      <w:pPr>
        <w:spacing w:lineRule="exact" w:line="600"/>
        <w:ind w:firstLine="643" w:firstLineChars="200"/>
        <w:autoSpaceDE w:val="0"/>
        <w:autoSpaceDN w:val="0"/>
      </w:pPr>
      <w:r>
        <w:rPr>
          <w:rFonts w:ascii="仿宋_GB2312" w:hAnsi="仿宋_GB2312" w:eastAsia="仿宋_GB2312"/>
          <w:b/>
          <w:sz w:val="32"/>
        </w:rPr>
        <w:t>一、财政拨款收入：</w:t>
      </w:r>
      <w:r>
        <w:rPr>
          <w:rFonts w:ascii="仿宋_GB2312" w:hAnsi="仿宋_GB2312" w:eastAsia="仿宋_GB2312"/>
          <w:b w:val="0"/>
          <w:sz w:val="32"/>
        </w:rPr>
        <w:t>指单位本年度从同级财政部门取得的财政拨款，包括一般公共预算财政拨款、政府性基金预算财政拨款和国有资本经营预算财政拨款。</w:t>
      </w:r>
    </w:p>
    <w:p>
      <w:pPr>
        <w:spacing w:lineRule="exact" w:line="600"/>
        <w:ind w:firstLine="643" w:firstLineChars="200"/>
        <w:autoSpaceDE w:val="0"/>
        <w:autoSpaceDN w:val="0"/>
      </w:pPr>
      <w:r>
        <w:rPr>
          <w:rFonts w:ascii="仿宋_GB2312" w:hAnsi="仿宋_GB2312" w:eastAsia="仿宋_GB2312"/>
          <w:b/>
          <w:sz w:val="32"/>
        </w:rPr>
        <w:t>二、上级补助收入：</w:t>
      </w:r>
      <w:r>
        <w:rPr>
          <w:rFonts w:ascii="仿宋_GB2312" w:hAnsi="仿宋_GB2312" w:eastAsia="仿宋_GB2312"/>
          <w:b w:val="0"/>
          <w:sz w:val="32"/>
        </w:rPr>
        <w:t>指事业单位从主管部门和上级单位取得的非财政补助收入。</w:t>
      </w:r>
    </w:p>
    <w:p>
      <w:pPr>
        <w:spacing w:lineRule="exact" w:line="600"/>
        <w:ind w:firstLine="643" w:firstLineChars="200"/>
        <w:autoSpaceDE w:val="0"/>
        <w:autoSpaceDN w:val="0"/>
      </w:pPr>
      <w:r>
        <w:rPr>
          <w:rFonts w:ascii="仿宋_GB2312" w:hAnsi="仿宋_GB2312" w:eastAsia="仿宋_GB2312"/>
          <w:b/>
          <w:sz w:val="32"/>
        </w:rPr>
        <w:t>三、事业收入：</w:t>
      </w:r>
      <w:r>
        <w:rPr>
          <w:rFonts w:ascii="仿宋_GB2312" w:hAnsi="仿宋_GB2312" w:eastAsia="仿宋_GB2312"/>
          <w:b w:val="0"/>
          <w:sz w:val="32"/>
        </w:rPr>
        <w:t>指事业单位开展专业业务活动及其辅助活动取得的收入。</w:t>
      </w:r>
    </w:p>
    <w:p>
      <w:pPr>
        <w:spacing w:lineRule="exact" w:line="600"/>
        <w:ind w:firstLine="643" w:firstLineChars="200"/>
        <w:autoSpaceDE w:val="0"/>
        <w:autoSpaceDN w:val="0"/>
      </w:pPr>
      <w:r>
        <w:rPr>
          <w:rFonts w:ascii="仿宋_GB2312" w:hAnsi="仿宋_GB2312" w:eastAsia="仿宋_GB2312"/>
          <w:b/>
          <w:sz w:val="32"/>
        </w:rPr>
        <w:t>四、经营收入：</w:t>
      </w:r>
      <w:r>
        <w:rPr>
          <w:rFonts w:ascii="仿宋_GB2312" w:hAnsi="仿宋_GB2312" w:eastAsia="仿宋_GB2312"/>
          <w:b w:val="0"/>
          <w:sz w:val="32"/>
        </w:rPr>
        <w:t>指事业单位在专业业务活动及其辅助活动之外开展非独立核算经营活动取得的收入。</w:t>
      </w:r>
    </w:p>
    <w:p>
      <w:pPr>
        <w:spacing w:lineRule="exact" w:line="600"/>
        <w:ind w:firstLine="643" w:firstLineChars="200"/>
        <w:autoSpaceDE w:val="0"/>
        <w:autoSpaceDN w:val="0"/>
      </w:pPr>
      <w:r>
        <w:rPr>
          <w:rFonts w:ascii="仿宋_GB2312" w:hAnsi="仿宋_GB2312" w:eastAsia="仿宋_GB2312"/>
          <w:b/>
          <w:sz w:val="32"/>
        </w:rPr>
        <w:t>五、附属单位上缴收入：</w:t>
      </w:r>
      <w:r>
        <w:rPr>
          <w:rFonts w:ascii="仿宋_GB2312" w:hAnsi="仿宋_GB2312" w:eastAsia="仿宋_GB2312"/>
          <w:b w:val="0"/>
          <w:sz w:val="32"/>
        </w:rPr>
        <w:t>指事业单位附属独立核算单位按照有关规定上缴的收入。</w:t>
      </w:r>
    </w:p>
    <w:p>
      <w:pPr>
        <w:spacing w:lineRule="exact" w:line="600"/>
        <w:ind w:firstLine="643" w:firstLineChars="200"/>
        <w:autoSpaceDE w:val="0"/>
        <w:autoSpaceDN w:val="0"/>
      </w:pPr>
      <w:r>
        <w:rPr>
          <w:rFonts w:ascii="仿宋_GB2312" w:hAnsi="仿宋_GB2312" w:eastAsia="仿宋_GB2312"/>
          <w:b/>
          <w:sz w:val="32"/>
        </w:rPr>
        <w:t>六、其他收入：</w:t>
      </w:r>
      <w:r>
        <w:rPr>
          <w:rFonts w:ascii="仿宋_GB2312" w:hAnsi="仿宋_GB2312" w:eastAsia="仿宋_GB2312"/>
          <w:b w:val="0"/>
          <w:sz w:val="32"/>
        </w:rPr>
        <w:t>指单位取得的除上述“财政拨款收入”“上级补助收入”“事业收入”“经营收入”“附属单位上缴收入”以外的各项收入。</w:t>
      </w:r>
    </w:p>
    <w:p>
      <w:pPr>
        <w:spacing w:lineRule="exact" w:line="600"/>
        <w:ind w:firstLine="643" w:firstLineChars="200"/>
        <w:autoSpaceDE w:val="0"/>
        <w:autoSpaceDN w:val="0"/>
      </w:pPr>
      <w:r>
        <w:rPr>
          <w:rFonts w:ascii="仿宋_GB2312" w:hAnsi="仿宋_GB2312" w:eastAsia="仿宋_GB2312"/>
          <w:b/>
          <w:sz w:val="32"/>
        </w:rPr>
        <w:t>七、年初结转和结余：</w:t>
      </w:r>
      <w:r>
        <w:rPr>
          <w:rFonts w:ascii="仿宋_GB2312" w:hAnsi="仿宋_GB2312" w:eastAsia="仿宋_GB2312"/>
          <w:b w:val="0"/>
          <w:sz w:val="32"/>
        </w:rPr>
        <w:t>指单位上年结转本年使用的基本支出结转、项目支出结转和结余、经营结余。</w:t>
      </w:r>
    </w:p>
    <w:p>
      <w:pPr>
        <w:spacing w:lineRule="exact" w:line="600"/>
        <w:ind w:firstLine="643" w:firstLineChars="200"/>
        <w:autoSpaceDE w:val="0"/>
        <w:autoSpaceDN w:val="0"/>
      </w:pPr>
      <w:r>
        <w:rPr>
          <w:rFonts w:ascii="仿宋_GB2312" w:hAnsi="仿宋_GB2312" w:eastAsia="仿宋_GB2312"/>
          <w:b/>
          <w:sz w:val="32"/>
        </w:rPr>
        <w:t>八、使用非财政拨款结余（含专用结余）：</w:t>
      </w:r>
      <w:r>
        <w:rPr>
          <w:rFonts w:ascii="仿宋_GB2312" w:hAnsi="仿宋_GB2312" w:eastAsia="仿宋_GB2312"/>
          <w:b w:val="0"/>
          <w:sz w:val="32"/>
        </w:rPr>
        <w:t>指单位按照预算管理要求使用非财政拨款结余弥补收支差额的金额，以及使用专用结余安排支出的金额。</w:t>
      </w:r>
    </w:p>
    <w:p>
      <w:pPr>
        <w:spacing w:lineRule="exact" w:line="600"/>
        <w:ind w:firstLine="643" w:firstLineChars="200"/>
        <w:autoSpaceDE w:val="0"/>
        <w:autoSpaceDN w:val="0"/>
      </w:pPr>
      <w:r>
        <w:rPr>
          <w:rFonts w:ascii="仿宋_GB2312" w:hAnsi="仿宋_GB2312" w:eastAsia="仿宋_GB2312"/>
          <w:b/>
          <w:sz w:val="32"/>
        </w:rPr>
        <w:t>九、结余分配：</w:t>
      </w:r>
      <w:r>
        <w:rPr>
          <w:rFonts w:ascii="仿宋_GB2312" w:hAnsi="仿宋_GB2312" w:eastAsia="仿宋_GB2312"/>
          <w:b w:val="0"/>
          <w:sz w:val="32"/>
        </w:rPr>
        <w:t>指单位缴纳企业所得税以及从非财政拨款结余或经营结余中提取各类结余的情况。</w:t>
      </w:r>
    </w:p>
    <w:p>
      <w:pPr>
        <w:spacing w:lineRule="exact" w:line="600"/>
        <w:ind w:firstLine="643" w:firstLineChars="200"/>
        <w:autoSpaceDE w:val="0"/>
        <w:autoSpaceDN w:val="0"/>
      </w:pPr>
      <w:r>
        <w:rPr>
          <w:rFonts w:ascii="仿宋_GB2312" w:hAnsi="仿宋_GB2312" w:eastAsia="仿宋_GB2312"/>
          <w:b/>
          <w:sz w:val="32"/>
        </w:rPr>
        <w:t>十、年末结转和结余：</w:t>
      </w:r>
      <w:r>
        <w:rPr>
          <w:rFonts w:ascii="仿宋_GB2312" w:hAnsi="仿宋_GB2312" w:eastAsia="仿宋_GB2312"/>
          <w:b w:val="0"/>
          <w:sz w:val="32"/>
        </w:rPr>
        <w:t>指单位结转下年的基本支出结转、项目支出结转和结余、经营结余。</w:t>
      </w:r>
    </w:p>
    <w:p>
      <w:pPr>
        <w:spacing w:lineRule="exact" w:line="600"/>
        <w:ind w:firstLine="643" w:firstLineChars="200"/>
        <w:autoSpaceDE w:val="0"/>
        <w:autoSpaceDN w:val="0"/>
      </w:pPr>
      <w:r>
        <w:rPr>
          <w:rFonts w:ascii="仿宋_GB2312" w:hAnsi="仿宋_GB2312" w:eastAsia="仿宋_GB2312"/>
          <w:b/>
          <w:sz w:val="32"/>
        </w:rPr>
        <w:t>十一、基本支出：</w:t>
      </w:r>
      <w:r>
        <w:rPr>
          <w:rFonts w:ascii="仿宋_GB2312" w:hAnsi="仿宋_GB2312" w:eastAsia="仿宋_GB2312"/>
          <w:b w:val="0"/>
          <w:sz w:val="32"/>
        </w:rPr>
        <w:t>指单位为保障机构正常运转、完成日常工作任务而发生的各项支出。</w:t>
      </w:r>
    </w:p>
    <w:p>
      <w:pPr>
        <w:spacing w:lineRule="exact" w:line="600"/>
        <w:ind w:firstLine="643" w:firstLineChars="200"/>
        <w:autoSpaceDE w:val="0"/>
        <w:autoSpaceDN w:val="0"/>
      </w:pPr>
      <w:r>
        <w:rPr>
          <w:rFonts w:ascii="仿宋_GB2312" w:hAnsi="仿宋_GB2312" w:eastAsia="仿宋_GB2312"/>
          <w:b/>
          <w:sz w:val="32"/>
        </w:rPr>
        <w:t>十二、项目支出：</w:t>
      </w:r>
      <w:r>
        <w:rPr>
          <w:rFonts w:ascii="仿宋_GB2312" w:hAnsi="仿宋_GB2312" w:eastAsia="仿宋_GB2312"/>
          <w:b w:val="0"/>
          <w:sz w:val="32"/>
        </w:rPr>
        <w:t>指单位为完成特定的行政工作任务或事业发展目标，在基本支出之外发生的各项支出。</w:t>
      </w:r>
    </w:p>
    <w:p>
      <w:pPr>
        <w:spacing w:lineRule="exact" w:line="600"/>
        <w:ind w:firstLine="643" w:firstLineChars="200"/>
        <w:autoSpaceDE w:val="0"/>
        <w:autoSpaceDN w:val="0"/>
      </w:pPr>
      <w:r>
        <w:rPr>
          <w:rFonts w:ascii="仿宋_GB2312" w:hAnsi="仿宋_GB2312" w:eastAsia="仿宋_GB2312"/>
          <w:b/>
          <w:sz w:val="32"/>
        </w:rPr>
        <w:t>十三、上缴上级支出：</w:t>
      </w:r>
      <w:r>
        <w:rPr>
          <w:rFonts w:ascii="仿宋_GB2312" w:hAnsi="仿宋_GB2312" w:eastAsia="仿宋_GB2312"/>
          <w:b w:val="0"/>
          <w:sz w:val="32"/>
        </w:rPr>
        <w:t>指事业单位按照财政部门和主管部门的规定上缴上级单位的支出。</w:t>
      </w:r>
    </w:p>
    <w:p>
      <w:pPr>
        <w:spacing w:lineRule="exact" w:line="600"/>
        <w:ind w:firstLine="643" w:firstLineChars="200"/>
        <w:autoSpaceDE w:val="0"/>
        <w:autoSpaceDN w:val="0"/>
      </w:pPr>
      <w:r>
        <w:rPr>
          <w:rFonts w:ascii="仿宋_GB2312" w:hAnsi="仿宋_GB2312" w:eastAsia="仿宋_GB2312"/>
          <w:b/>
          <w:sz w:val="32"/>
        </w:rPr>
        <w:t>十四、经营支出：</w:t>
      </w:r>
      <w:r>
        <w:rPr>
          <w:rFonts w:ascii="仿宋_GB2312" w:hAnsi="仿宋_GB2312" w:eastAsia="仿宋_GB2312"/>
          <w:b w:val="0"/>
          <w:sz w:val="32"/>
        </w:rPr>
        <w:t>指事业单位在专业活动及辅助活动之外开展非独立核算经营活动发生的支出。</w:t>
      </w:r>
    </w:p>
    <w:p>
      <w:pPr>
        <w:spacing w:lineRule="exact" w:line="600"/>
        <w:ind w:firstLine="643" w:firstLineChars="200"/>
        <w:autoSpaceDE w:val="0"/>
        <w:autoSpaceDN w:val="0"/>
      </w:pPr>
      <w:r>
        <w:rPr>
          <w:rFonts w:ascii="仿宋_GB2312" w:hAnsi="仿宋_GB2312" w:eastAsia="仿宋_GB2312"/>
          <w:b/>
          <w:sz w:val="32"/>
        </w:rPr>
        <w:t>十五、对附属单位补助支出：</w:t>
      </w:r>
      <w:r>
        <w:rPr>
          <w:rFonts w:ascii="仿宋_GB2312" w:hAnsi="仿宋_GB2312" w:eastAsia="仿宋_GB2312"/>
          <w:b w:val="0"/>
          <w:sz w:val="32"/>
        </w:rPr>
        <w:t>指事业单位用财政补助收入之外的收入对附属单位补助发生的支出。</w:t>
      </w:r>
    </w:p>
    <w:p>
      <w:pPr>
        <w:spacing w:lineRule="exact" w:line="600"/>
        <w:ind w:firstLine="643" w:firstLineChars="200"/>
        <w:autoSpaceDE w:val="0"/>
        <w:autoSpaceDN w:val="0"/>
      </w:pPr>
      <w:r>
        <w:rPr>
          <w:rFonts w:ascii="仿宋_GB2312" w:hAnsi="仿宋_GB2312" w:eastAsia="仿宋_GB2312"/>
          <w:b/>
          <w:sz w:val="32"/>
        </w:rPr>
        <w:t>十六、“三公”经费：</w:t>
      </w:r>
      <w:r>
        <w:rPr>
          <w:rFonts w:ascii="仿宋_GB2312" w:hAnsi="仿宋_GB2312" w:eastAsia="仿宋_GB2312"/>
          <w:b w:val="0"/>
          <w:sz w:val="32"/>
        </w:rPr>
        <w:t>指单位使用财政拨款安排的因公出国（境）费用、公务用车购置及运行维护费和公务接待费。其中，因公出国（境）费用反映单位公务出国（境）的国际旅费、国外城市间交通费、住宿费、伙食费、培训费、公杂费等支出；公务用车购置费反映公务用车购置支出（含车辆购置税、牌照费）；公务用车运行维护费反映单位按规定保留的公务用车燃料费、新能源汽车充电费、维修费、过路过桥费、保险费、安全奖励费用等支出；公务接待费反映单位按规定开支的各类公务接待（含外宾接待）费用。</w:t>
      </w:r>
    </w:p>
    <w:p>
      <w:pPr>
        <w:spacing w:lineRule="exact" w:line="600"/>
        <w:ind w:firstLine="643" w:firstLineChars="200"/>
        <w:autoSpaceDE w:val="0"/>
        <w:autoSpaceDN w:val="0"/>
      </w:pPr>
      <w:r>
        <w:rPr>
          <w:rFonts w:ascii="仿宋_GB2312" w:hAnsi="仿宋_GB2312" w:eastAsia="仿宋_GB2312"/>
          <w:b/>
          <w:sz w:val="32"/>
        </w:rPr>
        <w:t>十七、机关运行经费：</w:t>
      </w:r>
      <w:r>
        <w:rPr>
          <w:rFonts w:ascii="仿宋_GB2312" w:hAnsi="仿宋_GB2312" w:eastAsia="仿宋_GB2312"/>
          <w:b w:val="0"/>
          <w:sz w:val="32"/>
        </w:rPr>
        <w:t>指行政单位和参照公务员法管理的事业单位财政拨款基本支出中的公用经费支出。</w:t>
      </w:r>
    </w:p>
    <w:p>
      <w:r>
        <w:br w:type="page"/>
      </w:r>
    </w:p>
    <w:p>
      <w:pPr>
        <w:spacing w:line="240" w:lineRule="auto"/>
        <w:jc w:val="center"/>
        <w:outlineLvl w:val="1"/>
      </w:pPr>
      <w:r>
        <w:rPr>
          <w:rFonts w:ascii="黑体" w:hAnsi="黑体" w:eastAsia="黑体"/>
          <w:sz w:val="32"/>
        </w:rPr>
        <w:t>第四部分 部门决算报表（见附表）</w:t>
      </w:r>
    </w:p>
    <w:p>
      <w:pPr>
        <w:spacing w:lineRule="exact" w:line="600"/>
        <w:ind w:firstLine="643" w:firstLineChars="200"/>
        <w:autoSpaceDE w:val="0"/>
        <w:autoSpaceDN w:val="0"/>
      </w:pPr>
      <w:r>
        <w:rPr>
          <w:rFonts w:ascii="仿宋_GB2312" w:hAnsi="仿宋_GB2312" w:eastAsia="仿宋_GB2312"/>
          <w:b w:val="0"/>
          <w:sz w:val="32"/>
        </w:rPr>
        <w:t>一、《收入支出决算总表》</w:t>
      </w:r>
    </w:p>
    <w:p>
      <w:pPr>
        <w:spacing w:lineRule="exact" w:line="600"/>
        <w:ind w:firstLine="643" w:firstLineChars="200"/>
        <w:autoSpaceDE w:val="0"/>
        <w:autoSpaceDN w:val="0"/>
      </w:pPr>
      <w:r>
        <w:rPr>
          <w:rFonts w:ascii="仿宋_GB2312" w:hAnsi="仿宋_GB2312" w:eastAsia="仿宋_GB2312"/>
          <w:b w:val="0"/>
          <w:sz w:val="32"/>
        </w:rPr>
        <w:t>二、《收入决算表》</w:t>
      </w:r>
    </w:p>
    <w:p>
      <w:pPr>
        <w:spacing w:lineRule="exact" w:line="600"/>
        <w:ind w:firstLine="643" w:firstLineChars="200"/>
        <w:autoSpaceDE w:val="0"/>
        <w:autoSpaceDN w:val="0"/>
      </w:pPr>
      <w:r>
        <w:rPr>
          <w:rFonts w:ascii="仿宋_GB2312" w:hAnsi="仿宋_GB2312" w:eastAsia="仿宋_GB2312"/>
          <w:b w:val="0"/>
          <w:sz w:val="32"/>
        </w:rPr>
        <w:t>三、《支出决算表》</w:t>
      </w:r>
    </w:p>
    <w:p>
      <w:pPr>
        <w:spacing w:lineRule="exact" w:line="600"/>
        <w:ind w:firstLine="643" w:firstLineChars="200"/>
        <w:autoSpaceDE w:val="0"/>
        <w:autoSpaceDN w:val="0"/>
      </w:pPr>
      <w:r>
        <w:rPr>
          <w:rFonts w:ascii="仿宋_GB2312" w:hAnsi="仿宋_GB2312" w:eastAsia="仿宋_GB2312"/>
          <w:b w:val="0"/>
          <w:sz w:val="32"/>
        </w:rPr>
        <w:t>四、《财政拨款收入支出决算总表》</w:t>
      </w:r>
    </w:p>
    <w:p>
      <w:pPr>
        <w:spacing w:lineRule="exact" w:line="600"/>
        <w:ind w:firstLine="643" w:firstLineChars="200"/>
        <w:autoSpaceDE w:val="0"/>
        <w:autoSpaceDN w:val="0"/>
      </w:pPr>
      <w:r>
        <w:rPr>
          <w:rFonts w:ascii="仿宋_GB2312" w:hAnsi="仿宋_GB2312" w:eastAsia="仿宋_GB2312"/>
          <w:b w:val="0"/>
          <w:sz w:val="32"/>
        </w:rPr>
        <w:t>五、《一般公共预算财政拨款支出决算表》</w:t>
      </w:r>
    </w:p>
    <w:p>
      <w:pPr>
        <w:spacing w:lineRule="exact" w:line="600"/>
        <w:ind w:firstLine="643" w:firstLineChars="200"/>
        <w:autoSpaceDE w:val="0"/>
        <w:autoSpaceDN w:val="0"/>
      </w:pPr>
      <w:r>
        <w:rPr>
          <w:rFonts w:ascii="仿宋_GB2312" w:hAnsi="仿宋_GB2312" w:eastAsia="仿宋_GB2312"/>
          <w:b w:val="0"/>
          <w:sz w:val="32"/>
        </w:rPr>
        <w:t>六、《一般公共预算财政拨款基本支出决算表》</w:t>
      </w:r>
    </w:p>
    <w:p>
      <w:pPr>
        <w:spacing w:lineRule="exact" w:line="600"/>
        <w:ind w:firstLine="643" w:firstLineChars="200"/>
        <w:autoSpaceDE w:val="0"/>
        <w:autoSpaceDN w:val="0"/>
      </w:pPr>
      <w:r>
        <w:rPr>
          <w:rFonts w:ascii="仿宋_GB2312" w:hAnsi="仿宋_GB2312" w:eastAsia="仿宋_GB2312"/>
          <w:b w:val="0"/>
          <w:sz w:val="32"/>
        </w:rPr>
        <w:t>七、《政府性基金预算财政拨款收入支出决算表》</w:t>
      </w:r>
    </w:p>
    <w:p>
      <w:pPr>
        <w:spacing w:lineRule="exact" w:line="600"/>
        <w:ind w:firstLine="643" w:firstLineChars="200"/>
        <w:autoSpaceDE w:val="0"/>
        <w:autoSpaceDN w:val="0"/>
      </w:pPr>
      <w:r>
        <w:rPr>
          <w:rFonts w:ascii="仿宋_GB2312" w:hAnsi="仿宋_GB2312" w:eastAsia="仿宋_GB2312"/>
          <w:b w:val="0"/>
          <w:sz w:val="32"/>
        </w:rPr>
        <w:t>八、《国有资本经营预算财政拨款收入支出决算表》</w:t>
      </w:r>
    </w:p>
    <w:p>
      <w:pPr>
        <w:spacing w:lineRule="exact" w:line="600"/>
        <w:ind w:firstLine="643" w:firstLineChars="200"/>
        <w:autoSpaceDE w:val="0"/>
        <w:autoSpaceDN w:val="0"/>
      </w:pPr>
      <w:r>
        <w:rPr>
          <w:rFonts w:ascii="仿宋_GB2312" w:hAnsi="仿宋_GB2312" w:eastAsia="仿宋_GB2312"/>
          <w:b w:val="0"/>
          <w:sz w:val="32"/>
        </w:rPr>
        <w:t>九、《财政拨款“三公”经费支出决算表》</w:t>
      </w:r>
    </w:p>
    <w:p>
      <w:pPr>
        <w:spacing w:lineRule="exact" w:line="600"/>
        <w:ind w:firstLine="643" w:firstLineChars="200"/>
        <w:autoSpaceDE w:val="0"/>
        <w:autoSpaceDN w:val="0"/>
      </w:pPr>
    </w:p>
    <w:p>
      <w:pPr>
        <w:spacing w:lineRule="exact" w:line="600"/>
        <w:ind w:firstLine="643" w:firstLineChars="200"/>
        <w:autoSpaceDE w:val="0"/>
        <w:autoSpaceDN w:val="0"/>
      </w:pPr>
    </w:p>
    <w:p>
      <w:pPr>
        <w:spacing w:lineRule="exact" w:line="600"/>
        <w:ind w:firstLine="643" w:firstLineChars="200"/>
        <w:autoSpaceDE w:val="0"/>
        <w:autoSpaceDN w:val="0"/>
      </w:pPr>
    </w:p>
    <w:p>
      <w:pPr>
        <w:spacing w:lineRule="exact" w:line="600"/>
        <w:ind w:firstLine="643" w:firstLineChars="200"/>
        <w:autoSpaceDE w:val="0"/>
        <w:autoSpaceDN w:val="0"/>
      </w:pPr>
    </w:p>
    <w:p>
      <w:pPr>
        <w:spacing w:lineRule="exact" w:line="600"/>
        <w:ind w:firstLine="643" w:firstLineChars="200"/>
        <w:autoSpaceDE w:val="0"/>
        <w:autoSpaceDN w:val="0"/>
      </w:pPr>
    </w:p>
    <w:sectPr>
      <w:footerReference r:id="rId3" w:type="default"/>
      <w:pgSz w:w="11906" w:h="16838"/>
      <w:pgMar w:top="2098" w:right="1531" w:bottom="1985" w:left="1531"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EA382358-5FB0-4BFB-AA9D-340FD89383CE}"/>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_GBK">
    <w:altName w:val="微软雅黑"/>
    <w:panose1 w:val="00000000000000000000"/>
    <w:charset w:val="86"/>
    <w:family w:val="script"/>
    <w:pitch w:val="default"/>
    <w:sig w:usb0="00000000" w:usb1="00000000" w:usb2="00082016" w:usb3="00000000" w:csb0="00040001" w:csb1="00000000"/>
    <w:embedRegular r:id="rId2" w:fontKey="{B0E6D792-6E8F-4F84-99FA-9970FA3A7C22}"/>
  </w:font>
  <w:font w:name="仿宋_GB2312">
    <w:altName w:val="微软雅黑"/>
    <w:panose1 w:val="02010609030101010101"/>
    <w:charset w:val="86"/>
    <w:family w:val="modern"/>
    <w:pitch w:val="default"/>
    <w:sig w:usb0="00000001" w:usb1="080E0000" w:usb2="00000000" w:usb3="00000000" w:csb0="00040000" w:csb1="00000000"/>
    <w:embedRegular r:id="rId3" w:fontKey="{45C515A8-30E2-40B7-BB08-E73601327DDD}"/>
  </w:font>
  <w:font w:name="微软雅黑">
    <w:panose1 w:val="020B0503020204020204"/>
    <w:charset w:val="86"/>
    <w:family w:val="auto"/>
    <w:pitch w:val="default"/>
    <w:sig w:usb0="80000287" w:usb1="2ACF3C50" w:usb2="00000016" w:usb3="00000000" w:csb0="0004001F" w:csb1="00000000"/>
  </w:font>
  <w:font w:name="KSOF8080F95D">
    <w:panose1 w:val="020B0503020204020204"/>
    <w:charset w:val="86"/>
    <w:family w:val="auto"/>
    <w:pitch w:val="default"/>
    <w:sig w:usb0="00000001" w:usb1="00000000" w:usb2="00000000" w:usb3="00000000" w:csb0="00040001" w:csb1="00000000"/>
  </w:font>
  <w:font w:name="WPSEMBED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1994FD">
    <w:pPr>
      <w:pStyle w:val="4"/>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06890CC">
                          <w:pPr>
                            <w:pStyle w:val="4"/>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wps:txbx>
                    <wps:bodyPr vert="horz" wrap="none" lIns="0" tIns="0" rIns="0" bIns="0" anchor="t" anchorCtr="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6rY5ptYBAACyAwAADgAAAGRycy9lMm9Eb2MueG1srVPNjtMwEL4j8Q6W&#10;7zRpD6iKmq6AahESAqSFB3Adp7HkP3mmTcoDwBtw4sKd5+pzMHaS7rJc9sAlGY/H33zf5/HmZrCG&#10;nVQE7V3Nl4uSM+Wkb7Q71PzL59sXa84AhWuE8U7V/KyA32yfP9v0oVIr33nTqMgIxEHVh5p3iKEq&#10;CpCdsgIWPihHm62PViAt46FoougJ3ZpiVZYvi97HJkQvFQBld+MmnxDjUwB922qpdl4erXI4okZl&#10;BJIk6HQAvs1s21ZJ/Ni2oJCZmpNSzF9qQvE+fYvtRlSHKEKn5URBPIXCI01WaEdNr1A7gYIdo/4H&#10;ymoZPfgWF9LbYhSSHSEVy/KRN3edCCprIashXE2H/wcrP5w+RaYbmgTOnLB04Zcf3y8/f19+fWPL&#10;ZE8foKKqu0B1OLz2Qyqd8kDJpHpoo01/0sNon8w9X81VAzKZDq1X63VJW5L25gXhFPfHQwR8q7xl&#10;Kah5pNvLporTe8CxdC5J3Zy/1cZQXlTG/ZUgzJQpEveRY4pw2A8T8b1vzqSHngH16Xz8yllPQ1Bz&#10;RzPPmXnnyOM0L3MQ52A/B8JJOlhz5GwM32Ceq0QEwqsjErtMOrUe+02M6Cqz7Gns0qw8XOeq+6e2&#10;/QN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DOqXm5zwAAAAUBAAAPAAAAAAAAAAEAIAAAACIAAABk&#10;cnMvZG93bnJldi54bWxQSwECFAAUAAAACACHTuJA6rY5ptYBAACyAwAADgAAAAAAAAABACAAAAAe&#10;AQAAZHJzL2Uyb0RvYy54bWxQSwUGAAAAAAYABgBZAQAAZgUAAAAA&#10;">
              <v:fill on="f" focussize="0,0"/>
              <v:stroke on="f"/>
              <v:imagedata o:title=""/>
              <o:lock v:ext="edit" aspectratio="f"/>
              <v:textbox inset="0mm,0mm,0mm,0mm" style="mso-fit-shape-to-text:t;">
                <w:txbxContent>
                  <w:p w14:paraId="106890CC">
                    <w:pPr>
                      <w:pStyle w:val="4"/>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DAwYmRmZTlkODBlYWI2MWEzOGMyNWRlOTFmY2QzMTQifQ=="/>
  </w:docVars>
  <w:rsids>
    <w:rsidRoot w:val="00672051"/>
    <w:rsid w:val="000D14C6"/>
    <w:rsid w:val="002D017C"/>
    <w:rsid w:val="0039186B"/>
    <w:rsid w:val="00644722"/>
    <w:rsid w:val="00672051"/>
    <w:rsid w:val="006B29E4"/>
    <w:rsid w:val="00702FBA"/>
    <w:rsid w:val="00982448"/>
    <w:rsid w:val="009D5C6A"/>
    <w:rsid w:val="00A22425"/>
    <w:rsid w:val="00D34B7C"/>
    <w:rsid w:val="00F14B19"/>
    <w:rsid w:val="02F73D26"/>
    <w:rsid w:val="034D4FEF"/>
    <w:rsid w:val="03DE0026"/>
    <w:rsid w:val="03E2747C"/>
    <w:rsid w:val="043E5B56"/>
    <w:rsid w:val="04EF7C1A"/>
    <w:rsid w:val="06792773"/>
    <w:rsid w:val="06896151"/>
    <w:rsid w:val="09A729D8"/>
    <w:rsid w:val="0A7B4867"/>
    <w:rsid w:val="0AC260D6"/>
    <w:rsid w:val="0B8C3ECC"/>
    <w:rsid w:val="0BC24C29"/>
    <w:rsid w:val="0C3613A3"/>
    <w:rsid w:val="0C7227A7"/>
    <w:rsid w:val="0DCA6EF7"/>
    <w:rsid w:val="0E4B1576"/>
    <w:rsid w:val="11E15093"/>
    <w:rsid w:val="120E0809"/>
    <w:rsid w:val="181A30AD"/>
    <w:rsid w:val="1875698D"/>
    <w:rsid w:val="19071D6C"/>
    <w:rsid w:val="1C317E4F"/>
    <w:rsid w:val="1C472464"/>
    <w:rsid w:val="1DAF458D"/>
    <w:rsid w:val="1E086ACE"/>
    <w:rsid w:val="1EAA4A5F"/>
    <w:rsid w:val="1F040613"/>
    <w:rsid w:val="1F587A0B"/>
    <w:rsid w:val="1FE96E5D"/>
    <w:rsid w:val="2064678E"/>
    <w:rsid w:val="20DD6197"/>
    <w:rsid w:val="21F317F2"/>
    <w:rsid w:val="2241392C"/>
    <w:rsid w:val="23BC04D2"/>
    <w:rsid w:val="25275618"/>
    <w:rsid w:val="27CF2642"/>
    <w:rsid w:val="282459E2"/>
    <w:rsid w:val="2A053397"/>
    <w:rsid w:val="2A444FB1"/>
    <w:rsid w:val="2A6064E2"/>
    <w:rsid w:val="2BA9200B"/>
    <w:rsid w:val="2D1136DF"/>
    <w:rsid w:val="2DAE0E44"/>
    <w:rsid w:val="2EB07E70"/>
    <w:rsid w:val="2F9E416C"/>
    <w:rsid w:val="2FD27414"/>
    <w:rsid w:val="313F1D52"/>
    <w:rsid w:val="318029AB"/>
    <w:rsid w:val="319D6C1C"/>
    <w:rsid w:val="31C63837"/>
    <w:rsid w:val="326F0A17"/>
    <w:rsid w:val="34623382"/>
    <w:rsid w:val="390019F4"/>
    <w:rsid w:val="3914510A"/>
    <w:rsid w:val="3B1220C9"/>
    <w:rsid w:val="3D5275AC"/>
    <w:rsid w:val="3D55093B"/>
    <w:rsid w:val="3EA7725F"/>
    <w:rsid w:val="40834692"/>
    <w:rsid w:val="423A32B2"/>
    <w:rsid w:val="464B7E04"/>
    <w:rsid w:val="46901EEE"/>
    <w:rsid w:val="469C74D2"/>
    <w:rsid w:val="47445515"/>
    <w:rsid w:val="48E21116"/>
    <w:rsid w:val="49C97D5C"/>
    <w:rsid w:val="49F5131D"/>
    <w:rsid w:val="4AE426AE"/>
    <w:rsid w:val="4B4C0111"/>
    <w:rsid w:val="4D3F1CC6"/>
    <w:rsid w:val="4D730311"/>
    <w:rsid w:val="505A358E"/>
    <w:rsid w:val="50DB5F45"/>
    <w:rsid w:val="52F92565"/>
    <w:rsid w:val="55DA564E"/>
    <w:rsid w:val="56E07045"/>
    <w:rsid w:val="583059FA"/>
    <w:rsid w:val="587E6212"/>
    <w:rsid w:val="58D10A34"/>
    <w:rsid w:val="59973ABF"/>
    <w:rsid w:val="5A74678C"/>
    <w:rsid w:val="5AFC6609"/>
    <w:rsid w:val="5C3B09A8"/>
    <w:rsid w:val="5FA17648"/>
    <w:rsid w:val="613409CB"/>
    <w:rsid w:val="61A46A97"/>
    <w:rsid w:val="62DD7D21"/>
    <w:rsid w:val="65D97752"/>
    <w:rsid w:val="664C500C"/>
    <w:rsid w:val="670267B3"/>
    <w:rsid w:val="6773145F"/>
    <w:rsid w:val="68DB0208"/>
    <w:rsid w:val="69846A0E"/>
    <w:rsid w:val="69AD798C"/>
    <w:rsid w:val="6B68175F"/>
    <w:rsid w:val="6B8B5C99"/>
    <w:rsid w:val="6E0F7A08"/>
    <w:rsid w:val="6E801ABC"/>
    <w:rsid w:val="71473612"/>
    <w:rsid w:val="716B13F9"/>
    <w:rsid w:val="718F7F65"/>
    <w:rsid w:val="73423603"/>
    <w:rsid w:val="73DE4104"/>
    <w:rsid w:val="73FB6630"/>
    <w:rsid w:val="74CE04EC"/>
    <w:rsid w:val="74E76DCD"/>
    <w:rsid w:val="76660D7C"/>
    <w:rsid w:val="76CF72D3"/>
    <w:rsid w:val="77ED6F44"/>
    <w:rsid w:val="78B87A58"/>
    <w:rsid w:val="795A0A34"/>
    <w:rsid w:val="79FB30B5"/>
    <w:rsid w:val="7A0D3BC7"/>
    <w:rsid w:val="7A3A3CDB"/>
    <w:rsid w:val="7EAC4FE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32"/>
      <w:szCs w:val="24"/>
      <w:lang w:val="en-US" w:eastAsia="zh-CN" w:bidi="ar-SA"/>
    </w:rPr>
  </w:style>
  <w:style w:type="character" w:default="1" w:styleId="9">
    <w:name w:val="Default Paragraph Font"/>
    <w:semiHidden/>
    <w:unhideWhenUsed/>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toc 3"/>
    <w:basedOn w:val="1"/>
    <w:next w:val="1"/>
    <w:qFormat/>
    <w:uiPriority w:val="0"/>
    <w:pPr>
      <w:ind w:left="840" w:leftChars="400"/>
    </w:p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6">
    <w:name w:val="toc 1"/>
    <w:basedOn w:val="1"/>
    <w:next w:val="1"/>
    <w:qFormat/>
    <w:uiPriority w:val="0"/>
  </w:style>
  <w:style w:type="paragraph" w:styleId="7">
    <w:name w:val="toc 2"/>
    <w:basedOn w:val="1"/>
    <w:next w:val="1"/>
    <w:qFormat/>
    <w:uiPriority w:val="0"/>
    <w:pPr>
      <w:ind w:left="420" w:leftChars="200"/>
    </w:pPr>
  </w:style>
  <w:style w:type="paragraph" w:customStyle="1" w:styleId="10">
    <w:name w:val="WPSOffice手动目录 3"/>
    <w:qFormat/>
    <w:uiPriority w:val="0"/>
    <w:pPr>
      <w:ind w:left="400" w:leftChars="400"/>
    </w:pPr>
    <w:rPr>
      <w:rFonts w:ascii="Times New Roman" w:hAnsi="Times New Roman" w:eastAsia="宋体" w:cs="Times New Roman"/>
      <w:lang w:val="en-US" w:eastAsia="zh-CN" w:bidi="ar-SA"/>
    </w:rPr>
  </w:style>
  <w:style w:type="paragraph" w:customStyle="1" w:styleId="11">
    <w:name w:val="WPSOffice手动目录 2"/>
    <w:qFormat/>
    <w:uiPriority w:val="0"/>
    <w:pPr>
      <w:ind w:left="200" w:leftChars="200"/>
    </w:pPr>
    <w:rPr>
      <w:rFonts w:ascii="Times New Roman" w:hAnsi="Times New Roman" w:eastAsia="宋体" w:cs="Times New Roman"/>
      <w:lang w:val="en-US" w:eastAsia="zh-CN" w:bidi="ar-SA"/>
    </w:rPr>
  </w:style>
  <w:style w:type="paragraph" w:customStyle="1" w:styleId="12">
    <w:name w:val="WPSOffice手动目录 1"/>
    <w:qFormat/>
    <w:uiPriority w:val="0"/>
    <w:rPr>
      <w:rFonts w:ascii="Times New Roman" w:hAnsi="Times New Roman" w:eastAsia="宋体" w:cs="Times New Roman"/>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0D2BC71-196F-4E8D-B958-07750D1EE8B3}">
  <ds:schemaRefs/>
</ds:datastoreItem>
</file>

<file path=docProps/app.xml><?xml version="1.0" encoding="utf-8"?>
<Properties xmlns="http://schemas.openxmlformats.org/officeDocument/2006/extended-properties" xmlns:vt="http://schemas.openxmlformats.org/officeDocument/2006/docPropsVTypes">
  <Template>Normal.dotm</Template>
  <Pages>3</Pages>
  <Words>519</Words>
  <Characters>537</Characters>
  <Lines>10</Lines>
  <Paragraphs>2</Paragraphs>
  <TotalTime>7</TotalTime>
  <ScaleCrop>false</ScaleCrop>
  <LinksUpToDate>false</LinksUpToDate>
  <CharactersWithSpaces>543</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2026-07-22T07:37:00Z</dcterms:created>
  <dc:creator>GXR</dc:creator>
  <cp:lastModifiedBy>净</cp:lastModifiedBy>
  <cp:lastPrinted>2024-07-22T11:58:00Z</cp:lastPrinted>
  <dcterms:modified xsi:type="dcterms:W3CDTF">2026-08-25T03:09:34Z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8FDA567F26D84A8C8A1B02E29FDE1AE6_13</vt:lpwstr>
  </property>
  <property fmtid="{D5CDD505-2E9C-101B-9397-08002B2CF9AE}" pid="4" name="KSOTemplateDocerSaveRecord">
    <vt:lpwstr>eyJoZGlkIjoiYzdkNWY5OGM4OTRiMDBlYmMyNmZmZGZhMDgxMzY1MzQiLCJ1c2VySWQiOiI0MDU5MTQxNzUifQ==</vt:lpwstr>
  </property>
</Properties>
</file>