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昌吉工人文化宫</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组织群众文化活动，繁荣群众文化事业，为工人群众业余文化活动提供场所，服务文艺活动，组织相关文化产业经营。</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昌吉工人文化宫无下属预算单位。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2025年度收入总计253.96万元，</w:t>
      </w:r>
      <w:r>
        <w:rPr>
          <w:rFonts w:ascii="仿宋_GB2312" w:hAnsi="仿宋_GB2312" w:eastAsia="仿宋_GB2312"/>
          <w:b w:val="0"/>
          <w:sz w:val="32"/>
        </w:rPr>
        <w:t>其中：本年收入合计213.70万元，使用非财政拨款结余（含专用结余）0.00万元，年初结转和结余40.26万元。</w:t>
      </w:r>
    </w:p>
    <w:p>
      <w:pPr>
        <w:spacing w:line="580" w:lineRule="exact"/>
        <w:ind w:firstLine="640"/>
        <w:jc w:val="both"/>
      </w:pPr>
      <w:r>
        <w:rPr>
          <w:rFonts w:ascii="仿宋_GB2312" w:hAnsi="仿宋_GB2312" w:eastAsia="仿宋_GB2312"/>
          <w:b/>
          <w:sz w:val="32"/>
        </w:rPr>
        <w:t>2025年度支出总计253.96万元，</w:t>
      </w:r>
      <w:r>
        <w:rPr>
          <w:rFonts w:ascii="仿宋_GB2312" w:hAnsi="仿宋_GB2312" w:eastAsia="仿宋_GB2312"/>
          <w:b w:val="0"/>
          <w:sz w:val="32"/>
        </w:rPr>
        <w:t>其中：本年支出合计250.28万元，结余分配0.00万元，年末结转和结余3.69万元。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减少13.52万元，下降5.05%，主要原因是：本年度人员减少，人员经费减少；机构运行补助经费较上年减少。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本年收入213.70万元，</w:t>
      </w:r>
      <w:r>
        <w:rPr>
          <w:rFonts w:ascii="仿宋_GB2312" w:hAnsi="仿宋_GB2312" w:eastAsia="仿宋_GB2312"/>
          <w:b w:val="0"/>
          <w:sz w:val="32"/>
        </w:rPr>
        <w:t>其中：财政拨款收入161.81万元，占75.72%；上级补助收入0.00万元，占0.00%；事业收入0.00万元，占0.00%；经营收入0.00万元，占0.00%；附属单位上缴收入0.00万元，占0.00%；其他收入51.89万元，占24.28%。</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本年支出250.28万元，</w:t>
      </w:r>
      <w:r>
        <w:rPr>
          <w:rFonts w:ascii="仿宋_GB2312" w:hAnsi="仿宋_GB2312" w:eastAsia="仿宋_GB2312"/>
          <w:b w:val="0"/>
          <w:sz w:val="32"/>
        </w:rPr>
        <w:t>其中：基本支出247.51万元，占98.89%；项目支出2.77万元，占1.11%；上缴上级支出0.00万元，占0.00%；经营支出0.00万元，占0.00%；对附属单位补助支出0.00万元，占0.00%。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2025年度财政拨款收入总计161.81万元，</w:t>
      </w:r>
      <w:r>
        <w:rPr>
          <w:rFonts w:ascii="仿宋_GB2312" w:hAnsi="仿宋_GB2312" w:eastAsia="仿宋_GB2312"/>
          <w:b w:val="0"/>
          <w:sz w:val="32"/>
        </w:rPr>
        <w:t>其中：年初财政拨款结转和结余0.00万元，本年财政拨款收入161.81万元。</w:t>
      </w:r>
      <w:r>
        <w:rPr>
          <w:rFonts w:ascii="仿宋_GB2312" w:hAnsi="仿宋_GB2312" w:eastAsia="仿宋_GB2312"/>
          <w:b/>
          <w:sz w:val="32"/>
        </w:rPr>
        <w:t>财政拨款支出总计161.81万元，</w:t>
      </w:r>
      <w:r>
        <w:rPr>
          <w:rFonts w:ascii="仿宋_GB2312" w:hAnsi="仿宋_GB2312" w:eastAsia="仿宋_GB2312"/>
          <w:b w:val="0"/>
          <w:sz w:val="32"/>
        </w:rPr>
        <w:t>其中：年末财政拨款结转和结余0.00万元，本年财政拨款支出161.81万元。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减少14.02万元，下降7.97%，主要原因是：本年度人员减少，人员经费减少；机构运行补助经费较上年减少。</w:t>
      </w:r>
      <w:r>
        <w:rPr>
          <w:rFonts w:ascii="仿宋_GB2312" w:hAnsi="仿宋_GB2312" w:eastAsia="仿宋_GB2312"/>
          <w:b/>
          <w:sz w:val="32"/>
        </w:rPr>
        <w:t>与年初预算相比，</w:t>
      </w:r>
      <w:r>
        <w:rPr>
          <w:rFonts w:ascii="仿宋_GB2312" w:hAnsi="仿宋_GB2312" w:eastAsia="仿宋_GB2312"/>
          <w:b w:val="0"/>
          <w:sz w:val="32"/>
        </w:rPr>
        <w:t>年初预算数143.41万元，决算数161.81万元，预决算差异率12.83%，主要原因是：年中追加人员工资、社保、公积金基数调增部分资金，导致预决算存在差异。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群众文化文艺活动，为文化事业，配合工会开展表彰、宣传、维权帮扶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按照支出功能分类，一般公共服务支出（类）群众团体事务（款）事业运行（项）的支出占本年财政拨款支出总额的比重最高，2025年度决算数为105.50万元，占比65.20%，主要用于人员类支出和公用经费支出。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2025年度一般公共预算财政拨款支出161.81万元，</w:t>
      </w:r>
      <w:r>
        <w:rPr>
          <w:rFonts w:ascii="仿宋_GB2312" w:hAnsi="仿宋_GB2312" w:eastAsia="仿宋_GB2312"/>
          <w:b w:val="0"/>
          <w:sz w:val="32"/>
        </w:rPr>
        <w:t>占本年支出合计的64.65%。</w:t>
      </w:r>
      <w:r>
        <w:rPr>
          <w:rFonts w:ascii="仿宋_GB2312" w:hAnsi="仿宋_GB2312" w:eastAsia="仿宋_GB2312"/>
          <w:b/>
          <w:sz w:val="32"/>
        </w:rPr>
        <w:t>与上年相比，</w:t>
      </w:r>
      <w:r>
        <w:rPr>
          <w:rFonts w:ascii="仿宋_GB2312" w:hAnsi="仿宋_GB2312" w:eastAsia="仿宋_GB2312"/>
          <w:b w:val="0"/>
          <w:sz w:val="32"/>
        </w:rPr>
        <w:t>减少14.02万元，下降7.97%，主要原因是：本年度人员减少，人员经费减少；机构运行补助经费较上年减少。</w:t>
      </w:r>
      <w:r>
        <w:rPr>
          <w:rFonts w:ascii="仿宋_GB2312" w:hAnsi="仿宋_GB2312" w:eastAsia="仿宋_GB2312"/>
          <w:b/>
          <w:sz w:val="32"/>
        </w:rPr>
        <w:t>与年初预算相比，</w:t>
      </w:r>
      <w:r>
        <w:rPr>
          <w:rFonts w:ascii="仿宋_GB2312" w:hAnsi="仿宋_GB2312" w:eastAsia="仿宋_GB2312"/>
          <w:b w:val="0"/>
          <w:sz w:val="32"/>
        </w:rPr>
        <w:t>年初预算数143.41万元，决算数161.81万元，预决算差异率12.83%，主要原因是：年中追加人员工资、社保、公积金基数调增部分资金，导致预决算存在差异。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1.一般公共服务支出（类）108.27万元，占66.91%。</w:t>
      </w:r>
    </w:p>
    <w:p>
      <w:pPr>
        <w:spacing w:line="580" w:lineRule="exact"/>
        <w:ind w:firstLine="640"/>
        <w:jc w:val="both"/>
      </w:pPr>
      <w:r>
        <w:rPr>
          <w:rFonts w:ascii="仿宋_GB2312" w:hAnsi="仿宋_GB2312" w:eastAsia="仿宋_GB2312"/>
          <w:b w:val="0"/>
          <w:sz w:val="32"/>
        </w:rPr>
        <w:t>2.社会保障和就业支出（类）39.42万元，占24.36%。</w:t>
      </w:r>
    </w:p>
    <w:p>
      <w:pPr>
        <w:spacing w:line="580" w:lineRule="exact"/>
        <w:ind w:firstLine="640"/>
        <w:jc w:val="both"/>
      </w:pPr>
      <w:r>
        <w:rPr>
          <w:rFonts w:ascii="仿宋_GB2312" w:hAnsi="仿宋_GB2312" w:eastAsia="仿宋_GB2312"/>
          <w:b w:val="0"/>
          <w:sz w:val="32"/>
        </w:rPr>
        <w:t>3.卫生健康支出（类）2.43万元，占1.50%。</w:t>
      </w:r>
    </w:p>
    <w:p>
      <w:pPr>
        <w:spacing w:line="580" w:lineRule="exact"/>
        <w:ind w:firstLine="640"/>
        <w:jc w:val="both"/>
      </w:pPr>
      <w:r>
        <w:rPr>
          <w:rFonts w:ascii="仿宋_GB2312" w:hAnsi="仿宋_GB2312" w:eastAsia="仿宋_GB2312"/>
          <w:b w:val="0"/>
          <w:sz w:val="32"/>
        </w:rPr>
        <w:t>4.住房保障支出（类）11.69万元，占7.22%。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1.一般公共服务支出（类）群众团体事务（款）事业运行（项）：支出决算数为105.50万元，比上年决算增加3.97万元，增长3.91%，主要原因是：本年在职人员工资调增，导致相关人员经费较上年有所增加。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2.一般公共服务支出（类）群众团体事务（款）其他群众团体事务支出（项）：支出决算数为2.77万元，比上年决算减少10.23万元，下降78.69%，主要原因是：本年机构运行补助经费较上年减少。</w:t>
      </w:r>
    </w:p>
    <w:p>
      <w:pPr>
        <w:spacing w:line="580" w:lineRule="exact"/>
        <w:ind w:firstLine="640"/>
        <w:jc w:val="both"/>
      </w:pPr>
      <w:r>
        <w:rPr>
          <w:rFonts w:ascii="仿宋_GB2312" w:hAnsi="仿宋_GB2312" w:eastAsia="仿宋_GB2312"/>
          <w:b w:val="0"/>
          <w:sz w:val="32"/>
        </w:rPr>
        <w:t>3.社会保障和就业支出（类）行政事业单位养老支出（款）事业单位离退休（项）：支出决算数为17.96万元，比上年决算增加4.95万元，增长38.05%，主要原因是：本年退休人员增加，退休费支出增加。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14.31万元，比上年决算减少2.67万元，下降15.72%，主要原因是：本年度在职人员减少，单位基本养老保险缴费较上年减少。</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7.15万元，比上年决算减少1.34万元，下降15.78%，主要原因是：本年度在职人员减少，职业年金缴费支出较上年减少。</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6.卫生健康支出（类）行政事业单位医疗（款）事业单位医疗（项）：支出决算数为1.80万元，比上年决算减少6.68万元，下降78.77%，主要原因是：本年在职人员减少，事业单位医疗支出较上年减少。</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7.卫生健康支出（类）行政事业单位医疗（款）公务员医疗补助（项）：支出决算数为0.45万元，比上年决算减少0.08万元，下降15.09%，主要原因是：本年在职人员减少，公务员医疗补助较上年减少。</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0.18万元，比上年决算增加0.01万元，增长5.88%，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9.住房保障支出（类）住房改革支出（款）住房公积金（项）：支出决算数为11.69万元，比上年决算减少1.95万元，下降14.30%，主要原因是：本年在职人员减少，住房公积金缴费较上年减少。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2025年度一般公共预算财政拨款基本支出159.04万元，其中：</w:t>
      </w:r>
      <w:r>
        <w:rPr>
          <w:rFonts w:ascii="仿宋_GB2312" w:hAnsi="仿宋_GB2312" w:eastAsia="仿宋_GB2312"/>
          <w:b/>
          <w:sz w:val="32"/>
        </w:rPr>
        <w:t>人员经费157.41万元，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生活补助、奖励金。</w:t>
      </w:r>
    </w:p>
    <w:p>
      <w:pPr>
        <w:spacing w:line="580" w:lineRule="exact"/>
        <w:ind w:firstLine="640"/>
        <w:jc w:val="both"/>
      </w:pPr>
      <w:r>
        <w:rPr>
          <w:rFonts w:ascii="仿宋_GB2312" w:hAnsi="仿宋_GB2312" w:eastAsia="仿宋_GB2312"/>
          <w:b/>
          <w:sz w:val="32"/>
        </w:rPr>
        <w:t>公用经费1.64万元，</w:t>
      </w:r>
      <w:r>
        <w:rPr>
          <w:rFonts w:ascii="仿宋_GB2312" w:hAnsi="仿宋_GB2312" w:eastAsia="仿宋_GB2312"/>
          <w:b w:val="0"/>
          <w:sz w:val="32"/>
        </w:rPr>
        <w:t>包括：福利费。</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公务用车购置及运行维护费支出0.00万元，占0.00%，比上年增加0.00万元，增长0.00%，主要原因是：2024年与2025年均无公务用车购置及运行维护费支出。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2025年度昌吉工人文化宫（事业单位）公用经费支出1.64万元，比上年减少1.34万元，下降44.97%，主要原因是：本年减少办公费、委托业务费，导致公用经费减少。</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2025年度政府采购支出总额0.00万元，其中：政府采购货物支出0.00万元、政府采购工程支出0.00万元、政府采购服务支出0.00万元。</w:t>
      </w:r>
    </w:p>
    <w:p>
      <w:pPr>
        <w:spacing w:line="580" w:lineRule="exact"/>
        <w:ind w:firstLine="640"/>
        <w:jc w:val="both"/>
      </w:pPr>
      <w:r>
        <w:rPr>
          <w:rFonts w:ascii="仿宋_GB2312" w:hAnsi="仿宋_GB2312" w:eastAsia="仿宋_GB2312"/>
          <w:b w:val="0"/>
          <w:sz w:val="32"/>
        </w:rPr>
        <w:t>授予中小企业合同金额0.00万元，占政府采购支出总额的0.00%，其中：授予小微企业合同金额0.00万元，占政府采购支出总额的0.00%。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253.97万元，实际执行总额250.28万元；预算绩效评价项目2个，全年预算数15.33万元，全年执行数15.33万元。预算绩效管理取得的成效：一是本单位以绩效目标实现为导向，加强制度建设，提升预算执行质量，预算绩效管理取得一定成效。预算绩效管理取得的成效，科学制定目标，促进绩效目标顺利实现。二是自落实预算绩效管理工作以来，本单位在项目资金的使用上都有了更明确、更清晰的理解和认识。通过实施预算绩效管理，树立了绩效优先的管理理念，也很好的避免了在经费使用上出现违规行为的几率，提升了部门管理水平和资金使用效益，为全面实施绩效管理打下了坚实的基础。发现的问题及原因：一是部分业务人员绩效管理意识有待增强，未能全面深入理解绩效管理工作的意义。绩效管理工作经验不足，预算绩效管理工作有待进一步落实；二是绩效指标的明确性、相关性还需进一步提升，预算绩效管理精细化不需进一步完善，预算绩放编制管理水平仍有提升空间；三是绩效预算认识不够充分，绩放理念有待进一步强化，部门绩效管理理念尚未牢固树立，绩效管理专业人员匮乏。单位对全面实施绩效管理认识不够，绩效水平不高，单位内部绩效管理工作力量薄弱，多数以财务人员牵头开展绩效管理，工作推动机制不全，业务人员业务能力和素质还有待进一步提升。下一步改进措施：一是强化单位内部控制和监督，一方面加强单位内部审计工作，另一方面选定熟悉自身发展、行业特点和经费使用状况，具备丰富财务工作经验人员，从事单位内部控制规范和监督，跟际预算经费执行结果，反馈执行过程的信息，按照支出特点，对绩效目标完成情况进行分析，及时调整预算执行内容，发挥资全实际效果；二是继续完善绩效指标，提高整体绩效目标质量，提升绩被预算精细化管理水平，确保预算资全合法合规支出，提高资全使用和实施效益，保证资金使用的规范性；三是继续加大绩效工作的宣传力度，强化绩放理念，续完善预算绩效管理工作相关制度。建立全过程预算绩效管理链条，有效贯彻落实全面绩效管理的精神。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昌吉工人文化宫</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143.41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161.82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161.82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74.05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88.46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217.46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253.97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250.28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98.55%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9.86</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二十大精神，以打造多元化、高质量的文化活动阵地为核心，提升工人文化宫品牌的影响力和凝聚力，满足广大职工对文化需求的不断增长，促进职工精神文化生活的全面提升。2025年是中华全国总工会成立100周年，是昌吉州市工人文化宫项目重点建设年和部分县市工人文化宫建成投入运营的开局之年。2025年昌吉工人文化宫负责组织开展群众文化、文艺活动，为工人群众文化提供场所和服务；繁荣群众文化事业，配合工会开展表彰、宣传、维权、帮扶等工作；推进新文化宫平安建设。通过以上任务的实施确保人民群众安居乐业；确保老文化宫安全运行，不断提升人民群众安全感和满意度；保障人员工资福利待遇，单位正常办公支出及联合办公楼正常运转。</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253.97万元，全年执行数为250.28万元，总预算执行率为98.55%。2025年我单位完成以下工作内容：1.开展“主题党日活动”4次；2.开展各类活动1次；3.完成工人文化宫初步建设工作。通过以上工作的实施，确保人民群众安居乐业；确保老文化宫安全运行，不断提升人民群众安全感和满意度，保障了人员工资福利待遇及办公楼正常运转。</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开展“主题党日活动”次数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中国共产党支部工作条例（试行）</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开展新文化宫建设</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关于征集2025年自治州绩效考核指标的通知（昌州干考评函【2025】1号）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开展各类活动次数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2025年昌吉州群众、职工美术书法摄影展征稿通知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昌吉工人文化宫追加单位资金--公用经费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昌吉回族自治州总工会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昌吉工人文化宫</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12.56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12.56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12.56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12.56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昌吉州总工会党组会议纪要》中共昌吉州总工会党组2025年2月27日第3号文件，会议决定，由工人文化宫承担昌吉市建设路艺园明珠职工文化活动中心（工会驿站）日常运营及固定资产管理工作。工人文化宫做好职工文化活动中心（工会驿站)的建设、运营、管理和社会服务工作，积极开展文化活动不少于3次，使得职工群众文化、文艺活动丰富多彩，并有效保障活动中心正常运行。</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截至2025年12月31日，本项目支出资金12.56万元，资金执行率100%，本项目实际完成建设路艺园明珠小区门面房职工活动中心正常开展3次活动，丰富了昌吉职工群众业余文化生活。</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活动开展次数（次）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活动举办成功率（%）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活动完成及时性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活动场所运转支出总额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&lt;=5.67万元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其他活动支出总额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&lt;=6.89万元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保障活动中心正常运行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职工群众满意度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此项指标已完成，偏差率5.26%，偏差原因为： 我单位设定该满意度目标时秉持审慎原则，充分考虑公用经费使用效率、职工群众服务需求及保障能力等因素，设定95%的保守目标，重点保障公用经费落实到位、满足文化宫日常运营及职工群众服务基本需求，未充分预估经费优化调配、服务保障完善带来的良好反馈，故与实际完成值产生偏差；下一年度改进措施：总结公用经费使用及服务保障工作经验，梳理优化举措，结合职工群众反馈，适当上调满意度目标，以更高标准规范公用经费管理，完善服务保障体系，提升职工群众体验，助力工人文化宫更好发挥服务职工群众的职能作用。</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昌吉回族自治州总工会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昌吉工人文化宫</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用于昌吉州各县市、园区工人文化宫建设运营情况实地查看差旅费1.75万元，计划全年出差5次；委托业务1次，确保老文化宫安全生产对出租房屋委托昌吉州久恒资产经营管理有限公司管理委托业务费1.02万元，合计2.77万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2.77万元，资金执行率100%，本项目实际完成了对各县市、园区工人文化宫建设运营情况实地查看6次，委托昌吉州久恒资产经营管理有限公司管理老文化宫1次。通过本项目的实施，加大了各县市、园区工人文化宫建设进度、正常运营；确保了老文化宫安全隐患的排除，安全生产正常进行。</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出差次数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20%，偏差原因：我单位（昌吉工人文化宫）在设定出差次数目标时，结合各县市、园区工人文化宫建设运营实地查看需求，设定5次的合理目标，执行过程中，因实际工作需要，增加实地查看次数，确保全面掌握各县市、园区工人文化宫建设运营情况，故实际出差次数（6次）高于目标值（5次），未充分预估实际工作中对实地查看的需求增量。下一年度改进措施：总结出差工作经验，结合实际工作需求，科学测算出差次数目标，规范出差流程，切实发挥出差实地查看的作用，保障各县市、园区工人文化宫建设运营有序推进。</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出差保障率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保障单位业务正常运转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5.26%，偏差原因：我单位设定该满意度目标时，秉持审慎原则，结合机构运行补助经费的使用需求，重点保障经费精准投放、服务高效落地，满足职工群众对文化宫服务的基本需求，未充分预估经费优化调配后服务提升带来的良好反馈，导致实际满意度高于预期。下一年度改进措施：总结机构运行补助经费使用经验，结合职工群众反馈，优化服务流程，适当上调满意度目标，持续完善服务保障，充分发挥机构运行补助经费的作用，更好地服务职工群众，彰显工人文化宫的服务职能。</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本单位2025年度无政府采购支出，授予中小企业合同金额0.00万元。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