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F6C6B">
      <w:pPr>
        <w:spacing w:line="540" w:lineRule="exact"/>
        <w:jc w:val="left"/>
        <w:rPr>
          <w:rFonts w:hint="eastAsia"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5DAF1AD0">
      <w:pPr>
        <w:spacing w:line="540" w:lineRule="exact"/>
        <w:jc w:val="center"/>
        <w:rPr>
          <w:rFonts w:hint="eastAsia" w:ascii="华文中宋" w:hAnsi="华文中宋" w:eastAsia="华文中宋" w:cs="宋体"/>
          <w:b/>
          <w:kern w:val="0"/>
          <w:sz w:val="52"/>
          <w:szCs w:val="52"/>
        </w:rPr>
      </w:pPr>
    </w:p>
    <w:p w14:paraId="21A48484">
      <w:pPr>
        <w:spacing w:line="540" w:lineRule="exact"/>
        <w:jc w:val="center"/>
        <w:rPr>
          <w:rFonts w:hint="eastAsia" w:ascii="华文中宋" w:hAnsi="华文中宋" w:eastAsia="华文中宋" w:cs="宋体"/>
          <w:b/>
          <w:kern w:val="0"/>
          <w:sz w:val="52"/>
          <w:szCs w:val="52"/>
        </w:rPr>
      </w:pPr>
    </w:p>
    <w:p w14:paraId="3F7C8575">
      <w:pPr>
        <w:spacing w:line="540" w:lineRule="exact"/>
        <w:jc w:val="center"/>
        <w:rPr>
          <w:rFonts w:hint="eastAsia" w:ascii="华文中宋" w:hAnsi="华文中宋" w:eastAsia="华文中宋" w:cs="宋体"/>
          <w:b/>
          <w:kern w:val="0"/>
          <w:sz w:val="52"/>
          <w:szCs w:val="52"/>
        </w:rPr>
      </w:pPr>
    </w:p>
    <w:p w14:paraId="2718BA9D">
      <w:pPr>
        <w:spacing w:line="540" w:lineRule="exact"/>
        <w:jc w:val="center"/>
        <w:rPr>
          <w:rFonts w:hint="eastAsia" w:ascii="华文中宋" w:hAnsi="华文中宋" w:eastAsia="华文中宋" w:cs="宋体"/>
          <w:b/>
          <w:kern w:val="0"/>
          <w:sz w:val="52"/>
          <w:szCs w:val="52"/>
        </w:rPr>
      </w:pPr>
    </w:p>
    <w:p w14:paraId="7ABBDC18">
      <w:pPr>
        <w:spacing w:line="540" w:lineRule="exact"/>
        <w:jc w:val="center"/>
        <w:rPr>
          <w:rFonts w:hint="eastAsia" w:ascii="华文中宋" w:hAnsi="华文中宋" w:eastAsia="华文中宋" w:cs="宋体"/>
          <w:b/>
          <w:kern w:val="0"/>
          <w:sz w:val="52"/>
          <w:szCs w:val="52"/>
        </w:rPr>
      </w:pPr>
    </w:p>
    <w:p w14:paraId="13F7745D">
      <w:pPr>
        <w:spacing w:line="540" w:lineRule="exact"/>
        <w:jc w:val="center"/>
        <w:rPr>
          <w:rFonts w:hint="eastAsia" w:ascii="华文中宋" w:hAnsi="华文中宋" w:eastAsia="华文中宋" w:cs="宋体"/>
          <w:b/>
          <w:kern w:val="0"/>
          <w:sz w:val="52"/>
          <w:szCs w:val="52"/>
        </w:rPr>
      </w:pPr>
    </w:p>
    <w:p w14:paraId="1737E024">
      <w:pPr>
        <w:spacing w:line="540" w:lineRule="exact"/>
        <w:jc w:val="center"/>
        <w:rPr>
          <w:rFonts w:hint="eastAsia"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559E7C13">
      <w:pPr>
        <w:spacing w:line="540" w:lineRule="exact"/>
        <w:jc w:val="center"/>
        <w:rPr>
          <w:rFonts w:hint="eastAsia" w:ascii="华文中宋" w:hAnsi="华文中宋" w:eastAsia="华文中宋" w:cs="宋体"/>
          <w:b/>
          <w:kern w:val="0"/>
          <w:sz w:val="52"/>
          <w:szCs w:val="52"/>
        </w:rPr>
      </w:pPr>
    </w:p>
    <w:p w14:paraId="3C0ACB2E">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05217B3B">
      <w:pPr>
        <w:spacing w:line="540" w:lineRule="exact"/>
        <w:jc w:val="center"/>
        <w:rPr>
          <w:rFonts w:hint="eastAsia" w:hAnsi="宋体" w:eastAsia="仿宋_GB2312" w:cs="宋体"/>
          <w:kern w:val="0"/>
          <w:sz w:val="30"/>
          <w:szCs w:val="30"/>
        </w:rPr>
      </w:pPr>
    </w:p>
    <w:p w14:paraId="70813FE7">
      <w:pPr>
        <w:spacing w:line="540" w:lineRule="exact"/>
        <w:jc w:val="center"/>
        <w:rPr>
          <w:rFonts w:hint="eastAsia" w:hAnsi="宋体" w:eastAsia="仿宋_GB2312" w:cs="宋体"/>
          <w:kern w:val="0"/>
          <w:sz w:val="30"/>
          <w:szCs w:val="30"/>
        </w:rPr>
      </w:pPr>
    </w:p>
    <w:p w14:paraId="297D66F9">
      <w:pPr>
        <w:spacing w:line="540" w:lineRule="exact"/>
        <w:jc w:val="center"/>
        <w:rPr>
          <w:rFonts w:hint="eastAsia" w:hAnsi="宋体" w:eastAsia="仿宋_GB2312" w:cs="宋体"/>
          <w:kern w:val="0"/>
          <w:sz w:val="30"/>
          <w:szCs w:val="30"/>
        </w:rPr>
      </w:pPr>
    </w:p>
    <w:p w14:paraId="4AE42138">
      <w:pPr>
        <w:spacing w:line="540" w:lineRule="exact"/>
        <w:jc w:val="center"/>
        <w:rPr>
          <w:rFonts w:hint="eastAsia" w:hAnsi="宋体" w:eastAsia="仿宋_GB2312" w:cs="宋体"/>
          <w:kern w:val="0"/>
          <w:sz w:val="30"/>
          <w:szCs w:val="30"/>
        </w:rPr>
      </w:pPr>
    </w:p>
    <w:p w14:paraId="2CDB351D">
      <w:pPr>
        <w:spacing w:line="540" w:lineRule="exact"/>
        <w:jc w:val="center"/>
        <w:rPr>
          <w:rFonts w:hint="eastAsia" w:hAnsi="宋体" w:eastAsia="仿宋_GB2312" w:cs="宋体"/>
          <w:kern w:val="0"/>
          <w:sz w:val="30"/>
          <w:szCs w:val="30"/>
        </w:rPr>
      </w:pPr>
    </w:p>
    <w:p w14:paraId="70917638">
      <w:pPr>
        <w:spacing w:line="540" w:lineRule="exact"/>
        <w:jc w:val="center"/>
        <w:rPr>
          <w:rFonts w:hint="eastAsia" w:hAnsi="宋体" w:eastAsia="仿宋_GB2312" w:cs="宋体"/>
          <w:kern w:val="0"/>
          <w:sz w:val="30"/>
          <w:szCs w:val="30"/>
        </w:rPr>
      </w:pPr>
    </w:p>
    <w:p w14:paraId="177136A3">
      <w:pPr>
        <w:spacing w:line="540" w:lineRule="exact"/>
        <w:rPr>
          <w:rFonts w:hint="eastAsia" w:hAnsi="宋体" w:eastAsia="仿宋_GB2312" w:cs="宋体"/>
          <w:kern w:val="0"/>
          <w:sz w:val="30"/>
          <w:szCs w:val="30"/>
        </w:rPr>
      </w:pPr>
    </w:p>
    <w:p w14:paraId="6D49BB17">
      <w:pPr>
        <w:spacing w:line="700" w:lineRule="exact"/>
        <w:jc w:val="left"/>
        <w:rPr>
          <w:rFonts w:hint="eastAsia" w:hAnsi="宋体" w:eastAsia="仿宋_GB2312" w:cs="宋体"/>
          <w:kern w:val="0"/>
          <w:sz w:val="36"/>
          <w:szCs w:val="36"/>
        </w:rPr>
      </w:pPr>
      <w:r>
        <w:rPr>
          <w:rFonts w:hint="eastAsia" w:hAnsi="宋体" w:eastAsia="仿宋_GB2312" w:cs="宋体"/>
          <w:kern w:val="0"/>
          <w:sz w:val="36"/>
          <w:szCs w:val="36"/>
        </w:rPr>
        <w:t xml:space="preserve">     </w:t>
      </w:r>
    </w:p>
    <w:p w14:paraId="409B642E">
      <w:pPr>
        <w:spacing w:line="700" w:lineRule="exact"/>
        <w:ind w:firstLine="900" w:firstLineChars="250"/>
        <w:jc w:val="left"/>
        <w:rPr>
          <w:rFonts w:hint="eastAsia"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95年以前退休人员生活补贴资金</w:t>
      </w:r>
    </w:p>
    <w:p w14:paraId="245F183F">
      <w:pPr>
        <w:spacing w:line="540" w:lineRule="exact"/>
        <w:ind w:firstLine="567"/>
        <w:rPr>
          <w:rFonts w:hint="eastAsia"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昌吉回族自治州社会保险管理局本级</w:t>
      </w:r>
    </w:p>
    <w:p w14:paraId="6F31F310">
      <w:pPr>
        <w:spacing w:line="540" w:lineRule="exact"/>
        <w:ind w:firstLine="900" w:firstLineChars="250"/>
        <w:rPr>
          <w:rFonts w:hint="eastAsia"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昌吉回族自治州社会保险管理局本级</w:t>
      </w:r>
    </w:p>
    <w:p w14:paraId="6A46A645">
      <w:pPr>
        <w:spacing w:line="540" w:lineRule="exact"/>
        <w:ind w:firstLine="900" w:firstLineChars="250"/>
        <w:rPr>
          <w:rFonts w:hint="eastAsia"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王栋</w:t>
      </w:r>
    </w:p>
    <w:p w14:paraId="33658FD7">
      <w:pPr>
        <w:spacing w:line="540" w:lineRule="exact"/>
        <w:ind w:left="273" w:firstLine="567"/>
        <w:rPr>
          <w:rStyle w:val="18"/>
          <w:rFonts w:hint="eastAsia"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2024年04月01日</w:t>
      </w:r>
    </w:p>
    <w:p w14:paraId="5A4BFEB9">
      <w:pPr>
        <w:spacing w:line="700" w:lineRule="exact"/>
        <w:ind w:firstLine="708" w:firstLineChars="236"/>
        <w:jc w:val="left"/>
        <w:rPr>
          <w:rFonts w:hint="eastAsia" w:hAnsi="宋体" w:eastAsia="仿宋_GB2312" w:cs="宋体"/>
          <w:kern w:val="0"/>
          <w:sz w:val="30"/>
          <w:szCs w:val="30"/>
        </w:rPr>
      </w:pPr>
    </w:p>
    <w:p w14:paraId="3077F452">
      <w:pPr>
        <w:spacing w:line="540" w:lineRule="exact"/>
        <w:rPr>
          <w:rStyle w:val="18"/>
          <w:rFonts w:hint="eastAsia" w:ascii="黑体" w:hAnsi="黑体" w:eastAsia="黑体"/>
          <w:b w:val="0"/>
          <w:spacing w:val="-4"/>
          <w:sz w:val="32"/>
          <w:szCs w:val="32"/>
        </w:rPr>
      </w:pPr>
    </w:p>
    <w:p w14:paraId="04E4C3F6">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14:paraId="573E637F">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14:paraId="0F7BE2A5">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关于下达昌吉州本级预算单位2023年部门预算的通知》（昌州财社〔2023〕2号）文件要求，为了深入贯彻落实十九大关于社会保障“兜底线、织密网、建机制”的要求和全面建成“覆盖全民、城乡统筹、权责清晰、保障适度、可持续”的目标，根据自治区《关于对参加自治区城镇企业职工基本养老保险社会统筹的有关退休人员实施生活补贴的通知》（新政办发〔2010〕168号）精神，为了切实解决参加城镇企业职工基本养老保险社会统筹的退休较早人员基本养老金偏低问题，提高其生活保障水平，实施该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（1）项目名称：95年以前退休人员生活补贴资金项目（以下简称“该项目”或“项目”）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本项目主要内容为根据自治区《关于对参加自治区城镇企业职工基本养老保险社会统筹的有关退休人员实施生活补贴的通知》（新政办发〔2010〕168号）精神，为了切实解决参加城镇企业职工基本养老保险社会统筹的退休较早人员基本养老金偏低问题，提高其生活保障水平，每人每月120.00元生活补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实施主体：昌吉回族自治州社会保险中心。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实施情况：本项目于2023年1月开始按月实施，完成州直企业退休人885人生活补助发放工作，补贴按月及时发放。</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已全部完成，通过本项目的实施，提高1995年以前企业退休人员生活水平。项目的实施解决了参加城镇企业职工基本养老保险社会统筹的退休较早人员基本养老金偏低问题，提高了社会稳定水平，提升了家庭生活水平，推动了经济发展，促进了养老保险制度改革，为发展全面建设小康社会作出了贡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贯彻执行国家及区州社会保险法律、法规和政策，拟定全州基金管理办法和经办服务规程并组织实施，研究提出完善社会保险政策的意见；负责区、州统筹的社会保险基金的管理和运营，指导县市级统筹的社会保险基金的经办管理；负责全州社保信息系统的运行管理和网络安全工作；承办州直范围内社会保险登记、个人权益记录、社会保险费用征收及待遇审核和支付等经办服务工作；提供社会保险咨询、档案查询和社会化管理等公共服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回族自治州社会保险中心有16个科室，分别是：办公室（组织人事科）、财务科、宣教科、综合业务科、基金核算科、基金管理科、数据信息科、稽核科、档案管理科、城乡居民养老保险科、征缴科、社会保险关系管理科、企业职工养老待遇审核科、机关事业养老待遇审核科、工伤失业待遇审核科、待遇复核科等。</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编制人数为61人，其中：行政人员编制59人、工勤2人。实有在职人数59人，其中：参公59人、工勤2人。离退休人员35人，其中：行政退休人员35人。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本项目预算安排资金总额141.50万元，其中财政资金141.50万元、其他资金0.00万元，2023年实际收到预算资金141.50万元，预算资金到位率为100.00%0%。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截至2023年12月31日，本项目实际支付资金129.19万元，预算执行率91.30%，结余12.31万元。项目资金主要用于支付95年以前企业退休人员生活补贴项目费用129.19万元。每人每月补贴标准为120.00元。</w:t>
      </w:r>
    </w:p>
    <w:p w14:paraId="1EB28FD0">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14:paraId="4343D70F">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自治区《关于对参加自治区城镇企业职工基本养老保险社会统筹的有关退休人员实施生活补贴的通知》（新政办发〔2010〕168号）。核定1995年以前企业退休人数（982人）保证州直企业退休人员生活补助发放工作，补助标准：1440.00元/人/年，退休人员生活质量有所提高，使退休职工切实感受到党和国家的惠民政策和关心关爱。</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“核定1995年以前企业退休人数（人）”指标，预期指标值为“小于等于982人”；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“生活补贴标准（元）”指标，预期指标值为“等于1440.00元；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“发放周期”指标，预期指标值为“等于12期”；</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“资金发放到位率”指标，预期指标值为“等于100.00%0%”；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“全年补助发放及时率”指标，预期指标值为“等于100.00%0%”；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“预算成本控制率”指标，预期指标值为“小于等于100.00%0%”；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“提升1995年以前退休人员生活质量”指标，预期指标值为“提升”；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p>
    <w:p w14:paraId="1C9E32A4">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7C098F65">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15CF2362">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旨在强化部门和资金使用单位的绩效意识，全面了解该项目预算编制合理性、资金使用合规性、项目管理规范性、绩效目标实现情况以及服务对象生活质量的提高等，及时总结经验和教训，为下年度部门项目支出预算安排、完善政策和改进管理提供可行性参考建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2023年度我单位实施的95年以前退休人员生活补贴资金项目开展部门绩效评价项目，评价核心为项目资金、项目产出、项目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(5)《关于对参加自治区城镇企业职工基本养老保险社会统筹的有关退休人员实施生活补贴的通知》（新政办发〔2010〕168号）。</w:t>
      </w:r>
    </w:p>
    <w:p w14:paraId="468D2CA9">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30F722DE">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本次评价采取定量与定性评价相结合的方式，采用比较法、公众评判法对项目实施过程以及预期绩效目标完成情况进行全面、系统的评价，总分由各项指标得分汇总形成。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比较法：通过整理本项目相关资料和数据，评价数量指标的完成情况；通过分析项目的实施情况与绩效目标实现情况，评价项目实施的效果；通过分析项目资金使用情况及产生的效果，评价预算资金分配的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公众评判法：评价组采用实地访谈、远程访谈相结合方式，对本项目的实施情况进行充分调研，了解掌握资金分配、资金管理、资金使用、制度建设、制度执行情况。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14015F77">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14:paraId="13B81048">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2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李永发（评价小组组长）：主要负责项目策划和监督，全面负责项目绩效评价办稿的最终质量，对评估人员出具的最终报告质量进行复核，确保评估结果的客观性；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张龙隆（评价小组组员）：主要负责资料的收集，取证、数据统计分析；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杨维娜（评价小组组员）：主要负责主要负责项目报告的制定，指标的研判，数据分析及报告撰写。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2024年3月3日-3月8日，评价工作进入实施阶段。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2024年3月9日-3月18日，评价小组按照绩效评价的原则和规范，对取得的资料进行审查核实，对采集的数据进行分析，按照绩效评价指标评分表逐项进行打分、分析、汇总各方评价结果。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2024年3月19日-3月30日，评价小组撰写绩效评价报告，按照新疆维吾尔自治区财政绩效管理信息系统绩效评价模块中统一格式和文本框架撰写绩效评价报告并提交审核。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1755488A">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3DCC9A51">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较大程度达成年初设立的绩效目标，在实施过程中取得了良好的成效，具体表现在：通过项目的实施，完成了95年以前企业退休人员生活补贴准时发放的产出目标，发挥了提升1995年以前退休人员生活质量效益。但在实施过程中也存在一些不足：政策界定不清晰、资金承担不明确等。对于1995年以前退休的企业人员，政策明确了必须已参保才能享受生活补贴。这可能导致那些未及时参保或对保险认识不足的退休人员无法享受到应有的补贴。一些特定费用如取暖费补贴等，仍然由原企业承担发放，而由于历史和政策的不协调，可能出现企业不能完全脱离对这些费用的管理，导致所谓的“脱而不离”的现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18个，实现三级指标数量17个，总体完成率为94.44%。最终评分结果：总分为99.57分，绩效评级为“优”。综合评价结论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过程管理类指标共设置5个，满分指标4个，得分率97.74%；</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项目产出类指标共设置6个，满分指标6个，得分率100.00%；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项目效益类指标共设置1个，满分指标1个，得分率100.00%。</w:t>
      </w:r>
    </w:p>
    <w:p w14:paraId="6D48FA80">
      <w:pPr>
        <w:spacing w:line="540" w:lineRule="exact"/>
        <w:ind w:firstLine="64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23BF01FA">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71BBA8DC">
      <w:pPr>
        <w:tabs>
          <w:tab w:val="center" w:pos="4295"/>
        </w:tabs>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自治区颁发的《关于对参加自治区城镇企业职工基本养老保险社会统筹的有关退休人员实施生活补贴的通知》（新政办发〔2010〕168号）中：“为了切实解决参加城镇企业职工基本养老保险社会统筹的退休较早人员基本养老金偏低问题，提高其生活保障水平”的内容，符合行业发展规划和政策文件要求；本项目立项符合《昌吉回族自治州社会保险中心机构职能编制规定》中职责范围中的“经办州直范围内社会保险登记、个人权益记录、社会保险关系转移接续、待遇领取资格认证、待遇核定和支付等”的职责范围，属于我单位履职所需；根据《财政资金直接支付申请书》，本项目资金性质为“公共财政预算”；功能分类为“2082501”；经济分类为“生活补助”；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关于对参加自治区城镇企业职工基本养老保险社会统筹的有关退休人员实施生活补贴的通知》（新政办发〔2010〕168号）文件要求实施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依据自治区《关于对参加自治区城镇企业职工基本养老保险社会统筹的有关退休人员实施生活补贴的通知》（新政办发〔2010〕168号）。核定1995年以前企业退休人数（982人）保证州直企业退休人员生活补助发放工作，补助标准：1440元/人/年，退休人员生活质量有所提高，使退休职工切实感受到党和国家的惠民政策和关心关爱”；本项目实际工作内容为：95年以前退休人员生活补贴资金；绩效目标与实际工作内容一致，两者具有相关性;本项目按照绩效目标完成了数量指标、质量指标、时效指标、成本指标，有效障了保州直企业退休人员生活补助发放工作，使退休职工切实感受到党和国家的惠民政策和关心关爱，年度绩效目标完成，预期产出效益和效果符合正常的业绩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3个，二级指标5个，三级指标7个，定量指标6个，定性指标1个，指标量化率为85.71%，量化率达70.00%以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本项目根据退休人数*个人生活补贴标准*12月得出，即预算编制较科学且经过论证；</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预算申请内容为95年以前退休人员生活补贴资金，项目实际内容为95年以前退休人员生活补贴资金，预算申请与《95年以前退休人员生活补贴资金项目实施方案》中涉及的项目内容匹配；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141.50万元，我单位在预算申请中严格按照单位标准和数量进行核算，其中：单位标准为120.00人/月，数量为982人。本项目预算额度测算依据充分，严格按照标准编制，预算确定资金量与实际工作任务相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对参加自治区城镇企业职工基本养老保险社会统筹的有关退休人员实施生活补贴的通知》（新政办发〔2010〕168号）为依据进行资金分配，预算资金分配依据充分。根据《关于下达昌吉州本级预算单位2023年部门预算的通知》（昌州财社〔2023〕2号）文件显示，本项目实际到位资金141.50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474A0658">
      <w:pPr>
        <w:spacing w:line="540" w:lineRule="exact"/>
        <w:ind w:firstLine="567" w:firstLineChars="181"/>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7DE232B6">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项目过程管理类指标由2个二级指标和5个三级指标构成，权重分19.00分，实际得分18.57分。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本项目预算资金为141.50万元，其中：本级财政安排资金141.50万元，其他资金0.00万元，实际到位资金141.50万元，资金到位率为100.00%。得4.00分。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本项目实际支出资金129.19万元，预算执行率=（实际支出资金/实际到位资金）×100.00%%=91.30%。得4.57分。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综上所述，本指标满分为5.00分，根据评分标准得4.57分，本项目资金分配合理。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社保中心资金管理办法》《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资金管理办法》《收支业务管理制度》《政府采购业务管理制度》《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以及本单位资金管理办法执行，项目启动实施后，为了加快本项目的实施，成立了95年以前退休人员生活补贴资金项目工作领导小组，由党组书记李永发任组长，负责项目的组织工作；张龙隆任副组长，负责项目的实施工作；组员包括：王栋和杨维娜，主要负责项目监督管理、验收以及资金核拨等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69C05AAA">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136310FD">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项目产出类指标由4个二级指标和6个三级指标构成，权重分30.00分，实际得分30.00分。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“核定1995年以前企业退休人数（人）”指标：预期指标值为“小于等于982人”，实际完成指标值为“885人”，指标完成率为100.00%。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综上所述，本指标满分为9.0分，根据评分标准得9.0分。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“生活补贴标准（元）”指标：预期指标值为“等于1440.00元”，实际完成指标值为“1440.00元”，指标完成率为100.00%。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综上所述，本指标满分为4.0分，根据评分标准得4.0分。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“发放周期”指标：预期指标值为“等于12期”，实际完成指标值为“12期”，指标完成率为100.00%。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综上所述，本指标满分为3.0分，根据评分标准得3.0分。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“资金发放到位率”指标：预期指标值为“等于100.00%”，实际完成指标值为“100.00%”，指标完成率为100.00%%。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“全年补助发放及时率”指标：预期指标值为“等于100.00%”，实际完成指标值为“100.00%”，指标完成率为100.00%。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“预算成本控制率”指标：预期指标值为“小于等于100.00%”，实际完成指标值为“91.30%”，指标完成率为100.00%。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综上所述，本指标满分为6.00分，根据评分标准得6.00分。</w:t>
      </w:r>
    </w:p>
    <w:p w14:paraId="5A8F7C98">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4DABC662">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项目效益类指标由1个二级指标和1个三级指标构成，权重分30.00分，实际得分30.00分。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“提升1995年以前退休人员生活质量”指标：预期指标值为“提升”，实际完成指标值为“基本达成目标”，指标完成率为100.00%。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综上所述，本指标满分为30.00分，根据评分标准得30.00分。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p>
    <w:p w14:paraId="51E67E68">
      <w:pPr>
        <w:spacing w:line="540" w:lineRule="exact"/>
        <w:ind w:firstLine="567"/>
        <w:rPr>
          <w:rStyle w:val="18"/>
          <w:rFonts w:hint="eastAsia" w:ascii="楷体" w:hAnsi="楷体" w:eastAsia="楷体"/>
          <w:spacing w:val="-4"/>
          <w:sz w:val="32"/>
          <w:szCs w:val="32"/>
        </w:rPr>
      </w:pPr>
    </w:p>
    <w:p w14:paraId="128C4FB3">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预算执行进度与绩效指标偏差</w:t>
      </w:r>
    </w:p>
    <w:p w14:paraId="2BDA396E">
      <w:pPr>
        <w:spacing w:line="540" w:lineRule="exact"/>
        <w:ind w:firstLine="567"/>
        <w:rPr>
          <w:rStyle w:val="18"/>
          <w:rFonts w:hint="eastAsia" w:ascii="黑体" w:hAnsi="黑体" w:eastAsia="黑体"/>
          <w:b w:val="0"/>
          <w:spacing w:val="-4"/>
          <w:sz w:val="32"/>
          <w:szCs w:val="32"/>
        </w:rPr>
      </w:pPr>
      <w:r>
        <w:rPr>
          <w:rStyle w:val="18"/>
          <w:rFonts w:hint="eastAsia" w:ascii="楷体" w:hAnsi="楷体" w:eastAsia="楷体"/>
          <w:b w:val="0"/>
          <w:bCs w:val="0"/>
          <w:spacing w:val="-4"/>
          <w:sz w:val="32"/>
          <w:szCs w:val="32"/>
        </w:rPr>
        <w:t>本项目年初预算资金总额为141.50万元，全年预算数为141.50万元，全年执行数为129.19万元，预算执行率为91.30%。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本项目共设置三级指标数量18个，满分指标数量17个，扣分指标数量1个，经分析计算所有三级指标完成率得出，本项目总体完成率为94.44%。</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综上所述本项目预算执行进度与总体完成进度之间的偏差为3.14%。主要偏差原因是：2023年存在退休人员死亡，造成发放人数减少，资金执行数较年初预期减少，未100.00%执行完毕。</w:t>
      </w:r>
    </w:p>
    <w:p w14:paraId="6DD9FBA9">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5E988644">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昌吉州社会保险中心监管有力，制度建设完全，相关制度严格执行，经费到位及时。项目资金按计划使用，严格按照预算管理规定开支。及时支付项目补贴款，让退休人员感到党和政府的关心关爱，退休人员获得感、幸福感增强，促进社会稳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2、为规范公共财政补助资金发放项目的管理工作，建立决策科学、发放合理、运作规范的管理体制，确保补助资金发放到每一位退休人员手中。</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3、严格财经纪律、杜绝了资金被挤占和挪用现象的发生，提高资金使用效益。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1.资金承担不明确：一些特定费用如取暖费补贴等，仍然由原企业承担发放，而由于历史和政策的不协调，可能出现企业不能完全脱离对这些费用的管理，导致所谓的“脱而不离”的现状。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2.待遇公平性问题：生活补贴的发放对象是否合理，以及不同群体间待遇的差异，可能会引起退休人员之间的不公平感受。特别是当关联到事业单位和企业单位退休人员的不同待遇时，争议可能会更加激烈。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3.监督机制不健全：对于补贴发放的监管可能不够严格，缺乏有效的监督机制和惩罚措施，导致一些违规行为难以被及时发现和纠正。</w:t>
      </w:r>
    </w:p>
    <w:p w14:paraId="1C63D2EB">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七、有关建议</w:t>
      </w:r>
    </w:p>
    <w:p w14:paraId="3C9F50A5">
      <w:pPr>
        <w:spacing w:line="540" w:lineRule="exact"/>
        <w:ind w:firstLine="567"/>
        <w:rPr>
          <w:rStyle w:val="18"/>
          <w:rFonts w:hint="eastAsia" w:ascii="楷体" w:hAnsi="楷体" w:eastAsia="楷体"/>
          <w:spacing w:val="-4"/>
          <w:sz w:val="32"/>
          <w:szCs w:val="32"/>
        </w:rPr>
      </w:pPr>
      <w:r>
        <w:rPr>
          <w:rStyle w:val="18"/>
          <w:rFonts w:hint="eastAsia" w:ascii="楷体" w:hAnsi="楷体" w:eastAsia="楷体"/>
          <w:b w:val="0"/>
          <w:bCs w:val="0"/>
          <w:spacing w:val="-4"/>
          <w:sz w:val="32"/>
          <w:szCs w:val="32"/>
        </w:rPr>
        <w:t>1.明确资金来源：为避免原企业承担带来的问题，应明确各项补贴的资金来源，逐步过渡到由社会保障基金统一支付。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2.提高透明度：加强生活补贴金的管理和公开透明度，让退休人员能够清楚地了解补贴的来源和用途，减少误解和争议。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加强监督机制：建立健全的补贴发放监督机制，对补贴发放过程进行全程监管。对发现的问题及时进行纠正和处理，对违规行为进行严厉惩处，确保补贴发放的规范性和合法性。同时，鼓励退休人员和群众积极举报违规行为，形成社会监督的合力。</w:t>
      </w:r>
    </w:p>
    <w:p w14:paraId="46E5AA86">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八、其他需要说明的问题</w:t>
      </w:r>
    </w:p>
    <w:p w14:paraId="73CBB5B0">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69060710">
      <w:pPr>
        <w:spacing w:line="540" w:lineRule="exact"/>
        <w:ind w:firstLine="567"/>
        <w:rPr>
          <w:rStyle w:val="18"/>
          <w:rFonts w:hint="eastAsia" w:ascii="仿宋" w:hAnsi="仿宋" w:eastAsia="仿宋"/>
          <w:b w:val="0"/>
          <w:spacing w:val="-4"/>
          <w:sz w:val="32"/>
          <w:szCs w:val="32"/>
        </w:rPr>
      </w:pPr>
    </w:p>
    <w:p w14:paraId="2749E0D5">
      <w:pPr>
        <w:spacing w:line="540" w:lineRule="exact"/>
        <w:ind w:firstLine="567"/>
        <w:rPr>
          <w:rStyle w:val="18"/>
          <w:rFonts w:hint="eastAsia" w:ascii="仿宋" w:hAnsi="仿宋" w:eastAsia="仿宋"/>
          <w:b w:val="0"/>
          <w:spacing w:val="-4"/>
          <w:sz w:val="32"/>
          <w:szCs w:val="32"/>
        </w:rPr>
      </w:pPr>
    </w:p>
    <w:p w14:paraId="5843140F">
      <w:pPr>
        <w:spacing w:line="540" w:lineRule="exact"/>
        <w:ind w:firstLine="567"/>
        <w:rPr>
          <w:rStyle w:val="18"/>
          <w:rFonts w:hint="eastAsia" w:ascii="仿宋" w:hAnsi="仿宋" w:eastAsia="仿宋"/>
          <w:b w:val="0"/>
          <w:spacing w:val="-4"/>
          <w:sz w:val="32"/>
          <w:szCs w:val="32"/>
        </w:rPr>
      </w:pPr>
    </w:p>
    <w:p w14:paraId="206564A2">
      <w:pPr>
        <w:spacing w:line="540" w:lineRule="exact"/>
        <w:ind w:firstLine="567"/>
        <w:rPr>
          <w:rStyle w:val="18"/>
          <w:rFonts w:hint="eastAsia" w:ascii="仿宋" w:hAnsi="仿宋" w:eastAsia="仿宋"/>
          <w:b w:val="0"/>
          <w:spacing w:val="-4"/>
          <w:sz w:val="32"/>
          <w:szCs w:val="32"/>
        </w:rPr>
      </w:pPr>
    </w:p>
    <w:p w14:paraId="6CD264E1">
      <w:pPr>
        <w:spacing w:line="540" w:lineRule="exact"/>
        <w:ind w:firstLine="567"/>
        <w:rPr>
          <w:rStyle w:val="18"/>
          <w:rFonts w:hint="eastAsia"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92AD2F-2B90-47DF-96B6-3D3DB20AFF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9371839-1B6C-4490-B5F7-484F9F4C7DE9}"/>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1B8D9C76-9770-49BD-BD9D-E6F32D6967FA}"/>
  </w:font>
  <w:font w:name="华文中宋">
    <w:panose1 w:val="02010600040101010101"/>
    <w:charset w:val="86"/>
    <w:family w:val="auto"/>
    <w:pitch w:val="default"/>
    <w:sig w:usb0="00000287" w:usb1="080F0000" w:usb2="00000000" w:usb3="00000000" w:csb0="0004009F" w:csb1="DFD70000"/>
    <w:embedRegular r:id="rId4" w:fontKey="{8F69DD90-624C-4C00-8660-C82024C50EC1}"/>
  </w:font>
  <w:font w:name="方正小标宋_GBK">
    <w:panose1 w:val="02000000000000000000"/>
    <w:charset w:val="86"/>
    <w:family w:val="script"/>
    <w:pitch w:val="default"/>
    <w:sig w:usb0="A00002BF" w:usb1="38CF7CFA" w:usb2="00082016" w:usb3="00000000" w:csb0="00040001" w:csb1="00000000"/>
    <w:embedRegular r:id="rId5" w:fontKey="{EFE2FEAC-F7CA-4906-9D21-7F8A1D153AE1}"/>
  </w:font>
  <w:font w:name="仿宋_GB2312">
    <w:panose1 w:val="02010609030101010101"/>
    <w:charset w:val="86"/>
    <w:family w:val="modern"/>
    <w:pitch w:val="default"/>
    <w:sig w:usb0="00000001" w:usb1="080E0000" w:usb2="00000000" w:usb3="00000000" w:csb0="00040000" w:csb1="00000000"/>
    <w:embedRegular r:id="rId6" w:fontKey="{D17C5F76-38FD-4D1C-8F56-C508FF1BF97B}"/>
  </w:font>
  <w:font w:name="楷体">
    <w:panose1 w:val="02010609060101010101"/>
    <w:charset w:val="86"/>
    <w:family w:val="modern"/>
    <w:pitch w:val="default"/>
    <w:sig w:usb0="800002BF" w:usb1="38CF7CFA" w:usb2="00000016" w:usb3="00000000" w:csb0="00040001" w:csb1="00000000"/>
    <w:embedRegular r:id="rId7" w:fontKey="{DFC71506-1B41-4888-9F50-26212BE7D0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5CDBB3EF">
        <w:pPr>
          <w:pStyle w:val="12"/>
          <w:jc w:val="center"/>
        </w:pPr>
        <w:r>
          <w:fldChar w:fldCharType="begin"/>
        </w:r>
        <w:r>
          <w:instrText xml:space="preserve">PAGE   \* MERGEFORMAT</w:instrText>
        </w:r>
        <w:r>
          <w:fldChar w:fldCharType="separate"/>
        </w:r>
        <w:r>
          <w:rPr>
            <w:lang w:val="zh-CN"/>
          </w:rPr>
          <w:t>2</w:t>
        </w:r>
        <w:r>
          <w:fldChar w:fldCharType="end"/>
        </w:r>
      </w:p>
    </w:sdtContent>
  </w:sdt>
  <w:p w14:paraId="7392CA89">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55CCC"/>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A222B"/>
    <w:rsid w:val="009B046B"/>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EC47FA"/>
    <w:rsid w:val="00F32FEE"/>
    <w:rsid w:val="00FB10BB"/>
    <w:rsid w:val="0856517C"/>
    <w:rsid w:val="0BFB189F"/>
    <w:rsid w:val="0DDE6783"/>
    <w:rsid w:val="11BD75F7"/>
    <w:rsid w:val="13BE561A"/>
    <w:rsid w:val="15392994"/>
    <w:rsid w:val="18FE139B"/>
    <w:rsid w:val="3029612C"/>
    <w:rsid w:val="32A221C5"/>
    <w:rsid w:val="33F20F2A"/>
    <w:rsid w:val="34C44675"/>
    <w:rsid w:val="3B5B5607"/>
    <w:rsid w:val="3CE21B3C"/>
    <w:rsid w:val="4D2606A1"/>
    <w:rsid w:val="51830480"/>
    <w:rsid w:val="53A616BE"/>
    <w:rsid w:val="54662BFB"/>
    <w:rsid w:val="62051CA5"/>
    <w:rsid w:val="6C3A69EF"/>
    <w:rsid w:val="7BDF2CF1"/>
    <w:rsid w:val="7D174998"/>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uiPriority w:val="10"/>
    <w:rPr>
      <w:rFonts w:asciiTheme="majorHAnsi" w:hAnsiTheme="majorHAnsi" w:eastAsiaTheme="majorEastAsia"/>
      <w:b/>
      <w:bCs/>
      <w:kern w:val="28"/>
      <w:sz w:val="32"/>
      <w:szCs w:val="32"/>
    </w:rPr>
  </w:style>
  <w:style w:type="character" w:customStyle="1" w:styleId="30">
    <w:name w:val="副标题 字符"/>
    <w:basedOn w:val="17"/>
    <w:link w:val="14"/>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117</Words>
  <Characters>126</Characters>
  <Lines>77</Lines>
  <Paragraphs>21</Paragraphs>
  <TotalTime>2</TotalTime>
  <ScaleCrop>false</ScaleCrop>
  <LinksUpToDate>false</LinksUpToDate>
  <CharactersWithSpaces>138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2026-09-24T04:05:23Z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416959054A784EEF987FC550132CCA41_13</vt:lpwstr>
  </property>
  <property fmtid="{D5CDD505-2E9C-101B-9397-08002B2CF9AE}" pid="4" name="KSOTemplateDocerSaveRecord">
    <vt:lpwstr>eyJoZGlkIjoiM2Q5NDlmNDc3N2ZkYzk3ZGJmOTUwNTM0Mzc5MTVlNDMiLCJ1c2VySWQiOiIzMjQ5NjUzODcifQ==</vt:lpwstr>
  </property>
</Properties>
</file>