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18FDD">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3E9ECE0B">
      <w:pPr>
        <w:spacing w:line="540" w:lineRule="exact"/>
        <w:jc w:val="center"/>
        <w:rPr>
          <w:rFonts w:ascii="华文中宋" w:hAnsi="华文中宋" w:eastAsia="华文中宋" w:cs="宋体"/>
          <w:b/>
          <w:kern w:val="0"/>
          <w:sz w:val="52"/>
          <w:szCs w:val="52"/>
        </w:rPr>
      </w:pPr>
    </w:p>
    <w:p w14:paraId="64A8C34F">
      <w:pPr>
        <w:spacing w:line="540" w:lineRule="exact"/>
        <w:jc w:val="center"/>
        <w:rPr>
          <w:rFonts w:ascii="华文中宋" w:hAnsi="华文中宋" w:eastAsia="华文中宋" w:cs="宋体"/>
          <w:b/>
          <w:kern w:val="0"/>
          <w:sz w:val="52"/>
          <w:szCs w:val="52"/>
        </w:rPr>
      </w:pPr>
    </w:p>
    <w:p w14:paraId="3FE6B336">
      <w:pPr>
        <w:spacing w:line="540" w:lineRule="exact"/>
        <w:jc w:val="center"/>
        <w:rPr>
          <w:rFonts w:ascii="华文中宋" w:hAnsi="华文中宋" w:eastAsia="华文中宋" w:cs="宋体"/>
          <w:b/>
          <w:kern w:val="0"/>
          <w:sz w:val="52"/>
          <w:szCs w:val="52"/>
        </w:rPr>
      </w:pPr>
    </w:p>
    <w:p w14:paraId="290D8C1F">
      <w:pPr>
        <w:spacing w:line="540" w:lineRule="exact"/>
        <w:jc w:val="center"/>
        <w:rPr>
          <w:rFonts w:ascii="华文中宋" w:hAnsi="华文中宋" w:eastAsia="华文中宋" w:cs="宋体"/>
          <w:b/>
          <w:kern w:val="0"/>
          <w:sz w:val="52"/>
          <w:szCs w:val="52"/>
        </w:rPr>
      </w:pPr>
    </w:p>
    <w:p w14:paraId="079853D6">
      <w:pPr>
        <w:spacing w:line="540" w:lineRule="exact"/>
        <w:jc w:val="center"/>
        <w:rPr>
          <w:rFonts w:ascii="华文中宋" w:hAnsi="华文中宋" w:eastAsia="华文中宋" w:cs="宋体"/>
          <w:b/>
          <w:kern w:val="0"/>
          <w:sz w:val="52"/>
          <w:szCs w:val="52"/>
        </w:rPr>
      </w:pPr>
    </w:p>
    <w:p w14:paraId="281E1039">
      <w:pPr>
        <w:spacing w:line="540" w:lineRule="exact"/>
        <w:jc w:val="center"/>
        <w:rPr>
          <w:rFonts w:ascii="华文中宋" w:hAnsi="华文中宋" w:eastAsia="华文中宋" w:cs="宋体"/>
          <w:b/>
          <w:kern w:val="0"/>
          <w:sz w:val="52"/>
          <w:szCs w:val="52"/>
        </w:rPr>
      </w:pPr>
    </w:p>
    <w:p w14:paraId="6924A750">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388E65DA">
      <w:pPr>
        <w:spacing w:line="540" w:lineRule="exact"/>
        <w:jc w:val="center"/>
        <w:rPr>
          <w:rFonts w:ascii="华文中宋" w:hAnsi="华文中宋" w:eastAsia="华文中宋" w:cs="宋体"/>
          <w:b/>
          <w:kern w:val="0"/>
          <w:sz w:val="52"/>
          <w:szCs w:val="52"/>
        </w:rPr>
      </w:pPr>
    </w:p>
    <w:p w14:paraId="35BA4EE2">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72D3CB75">
      <w:pPr>
        <w:spacing w:line="540" w:lineRule="exact"/>
        <w:jc w:val="center"/>
        <w:rPr>
          <w:rFonts w:hAnsi="宋体" w:eastAsia="仿宋_GB2312" w:cs="宋体"/>
          <w:kern w:val="0"/>
          <w:sz w:val="30"/>
          <w:szCs w:val="30"/>
        </w:rPr>
      </w:pPr>
    </w:p>
    <w:p w14:paraId="21B71029">
      <w:pPr>
        <w:spacing w:line="540" w:lineRule="exact"/>
        <w:jc w:val="center"/>
        <w:rPr>
          <w:rFonts w:hAnsi="宋体" w:eastAsia="仿宋_GB2312" w:cs="宋体"/>
          <w:kern w:val="0"/>
          <w:sz w:val="30"/>
          <w:szCs w:val="30"/>
        </w:rPr>
      </w:pPr>
    </w:p>
    <w:p w14:paraId="6E61E939">
      <w:pPr>
        <w:spacing w:line="540" w:lineRule="exact"/>
        <w:jc w:val="center"/>
        <w:rPr>
          <w:rFonts w:hAnsi="宋体" w:eastAsia="仿宋_GB2312" w:cs="宋体"/>
          <w:kern w:val="0"/>
          <w:sz w:val="30"/>
          <w:szCs w:val="30"/>
        </w:rPr>
      </w:pPr>
    </w:p>
    <w:p w14:paraId="4E711F1B">
      <w:pPr>
        <w:spacing w:line="540" w:lineRule="exact"/>
        <w:jc w:val="center"/>
        <w:rPr>
          <w:rFonts w:hAnsi="宋体" w:eastAsia="仿宋_GB2312" w:cs="宋体"/>
          <w:kern w:val="0"/>
          <w:sz w:val="30"/>
          <w:szCs w:val="30"/>
        </w:rPr>
      </w:pPr>
    </w:p>
    <w:p w14:paraId="1382632A">
      <w:pPr>
        <w:spacing w:line="540" w:lineRule="exact"/>
        <w:jc w:val="center"/>
        <w:rPr>
          <w:rFonts w:hAnsi="宋体" w:eastAsia="仿宋_GB2312" w:cs="宋体"/>
          <w:kern w:val="0"/>
          <w:sz w:val="30"/>
          <w:szCs w:val="30"/>
        </w:rPr>
      </w:pPr>
    </w:p>
    <w:p w14:paraId="675E6A19">
      <w:pPr>
        <w:spacing w:line="540" w:lineRule="exact"/>
        <w:jc w:val="center"/>
        <w:rPr>
          <w:rFonts w:hAnsi="宋体" w:eastAsia="仿宋_GB2312" w:cs="宋体"/>
          <w:kern w:val="0"/>
          <w:sz w:val="30"/>
          <w:szCs w:val="30"/>
        </w:rPr>
      </w:pPr>
    </w:p>
    <w:p w14:paraId="1CA1266F">
      <w:pPr>
        <w:spacing w:line="540" w:lineRule="exact"/>
        <w:rPr>
          <w:rFonts w:hAnsi="宋体" w:eastAsia="仿宋_GB2312" w:cs="宋体"/>
          <w:kern w:val="0"/>
          <w:sz w:val="30"/>
          <w:szCs w:val="30"/>
        </w:rPr>
      </w:pPr>
    </w:p>
    <w:p w14:paraId="3414E53D">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48D43E68">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2021年度博士后资助经费</w:t>
      </w:r>
    </w:p>
    <w:p w14:paraId="36308D23">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人力资源和社会保障局</w:t>
      </w:r>
    </w:p>
    <w:p w14:paraId="56DEC947">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人力资源和社会保障局</w:t>
      </w:r>
    </w:p>
    <w:p w14:paraId="74751DF0">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朱敏</w:t>
      </w:r>
    </w:p>
    <w:p w14:paraId="6C994F24">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2024年04月07日</w:t>
      </w:r>
    </w:p>
    <w:p w14:paraId="525341BF">
      <w:pPr>
        <w:spacing w:line="700" w:lineRule="exact"/>
        <w:ind w:firstLine="708" w:firstLineChars="236"/>
        <w:jc w:val="left"/>
        <w:rPr>
          <w:rFonts w:hAnsi="宋体" w:eastAsia="仿宋_GB2312" w:cs="宋体"/>
          <w:kern w:val="0"/>
          <w:sz w:val="30"/>
          <w:szCs w:val="30"/>
        </w:rPr>
      </w:pPr>
    </w:p>
    <w:p w14:paraId="0D049FF9">
      <w:pPr>
        <w:spacing w:line="540" w:lineRule="exact"/>
        <w:rPr>
          <w:rStyle w:val="18"/>
          <w:rFonts w:ascii="黑体" w:hAnsi="黑体" w:eastAsia="黑体"/>
          <w:b w:val="0"/>
          <w:spacing w:val="-4"/>
          <w:sz w:val="32"/>
          <w:szCs w:val="32"/>
        </w:rPr>
      </w:pPr>
    </w:p>
    <w:p w14:paraId="3E9B4D8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5CB031E7">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2DF056D3">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根据《中共昌吉州委员会办公室 昌吉州人民政府办公室关于印发&lt;昌吉州高层次创新创业人才引进办发（试行）&gt;的通知》(昌州党办发[2017]4号)文件规定，昌吉州博士后管理办公室主要负责健全和落实博士后管理制度，及时掌握各设站单位工作运行情况，实地指导在站博士后研究人员进、出站答辩和中期考核等设站单位的日常管理工作。目前，我州共有17家博士后科研工作站，其中，国家级9家、自治区级8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《中共昌吉州委员会办公室 昌吉州人民政府办公室关于印发&lt;昌吉州高层次创新创业人才引进办发（试行）&gt;的通知》(昌州党办发[2017]4号)第五条 “博士后科研工作站和博士后创新实践基地每引进1名博士，享受每年20.00万元科研经费资助”。充分发挥博士后工作资助经费的引导作用，确保年内在站博士后达28人，受资助博士后在站期间公开发表论文14篇以上，；当年课题完成率和及时率均达100.00%；成本指标得以有效控制；促进产学研合作，并持续解决工作生产中的难题；确保引进博士单位满意度达90.00%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（1）项目名称：2021年度博士后资助经费项目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（2）项目主要内容：为积极促进博士后事业发展，推动“产、学、研”合作，促进地方经济社会发展，昌吉州制定《中共昌吉州委员会办公室 昌吉州人民政府办公室关于印发&lt;昌吉州高层次创新创业人才引进办发（试行）&gt;的通知》(昌州党办发[2017]4号)，对博士后工作予以经费资助。2022年计划对已引进的28名博士后进行资助，经费共计560.00万元。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实施主体：昌吉州人力资源和社会保障局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实施情况：本项目于2022年1月开始实施，经自治区对博士后工作考核通过后，于2023年开始对符合条件的博士后拨资助款，</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完成28人，560.00万元的博士后资助经费的拨付。通过本项目的实施，我单位及时掌握各设站单位工作运行情况，实地指导在站博士后研究人员进、出站答辩和中期考核等设站单位的日常管理工作。促进了产学研合作，并持续解决工作生产中的难题；确保引进博士单位满意度达90.00%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1、贯彻执行国家、自治区人力资源和社会保障事业发展规划、政策；拟订人力资源和社会保障相关措施并组织实施和监督检查。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2、拟订并组织实施全州人力资源市场发展规划，组织实施人力资源流动政策，建立全州统一规范的人力资源市场，促进人力资源合理流动、有效配置。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负责促进就业和创业工作。拟订统筹城乡就业和创业发展规划，组织实施城乡就业政策，完善公共就业和创业服务体系；组织落实就业援助制度、职业资格制度相关政策，统筹建立面向城乡劳动者的职业培训制度；组织落实高校毕业生就业政策，会同有关部门组织实施高技能人才、农村实用人才培养和激励政策。</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统筹建立覆盖城乡的社会保障体系，组织实施城乡社会保险及其它保险政策。组织实施城乡社会保险及其补充保险政策和标准；统筹实施企事业单位基本养老保险政策；会同有关部门拟订社会保险及其补充保险基金管理和监督办法，审核全州社会保险基金预决算草案；拟订全州社会保险基金保值增值方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5、负责就业、失业、社会保险基金预测预警和信息引导；拟订应对预案，实施预防、调节和控制，保持就业形势稳定和社会保险基金总体收支平衡。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会同有关部门落实机关、事业单位人员工资收入分配制度改革实施意见，落实国家、自治区机关企事业单位人员工资正常增长和支付保障政策；组织落实机关企事业单位人员福利和离退休政策；参与州级企业劳动模范评定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会同有关部门指导事业单位人事制度改革，组织落实事业单位人员和机关工勤人员管理政策，参与人才开发管理工作，组织落实专业技术人员管理和继续教育政策；牵头推进深化职称制度改革工作；负责全州博士后管理工作；负责全州专业技术人才选拔和培养工作，落实国（境）外专家、留学生人员来疆（回疆）工作或定居政策。</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8、会同有关部门组织落实国家荣誉制度和政府奖励制度，承担权限内表彰奖励活动。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9、会同有关部门组织落实农民工工作综合性政策，拟订农民工工作规划，协调解决重点难点问题，维护农民工合法权益。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10、统筹实施劳动、人事争议调解仲裁制度；组织落实劳动关系政策，完善劳动关系协调机制；监督落实消除非法使用童工政策和女工、未成年工的特殊劳动保护政策；组织实施劳动监察，协调劳动者维权工作，依法查处重大案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11、受理全州人力资源和社会保障方面信访事项，拟订信访工作预案;会同有关部门协调处理有关劳动、人事方面的重大信访事件或突发事件。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12、承担全州人力资源和社会保障系统的宣传、培训、统计和信息工作。组织建设全州人力资源和社会保障系统信息网络，定期发布人力资源和社会保障系统事业统计公报、信息资料及发展预测报告。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13、指导、监督各县市人力资源和社会保障行政部门、各直属单位的人力资源和社会保障管理工作；指导所属相关学会、协会等社团工作。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14、完成自治州党委、自治州人民政府交办的其他事项。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15、职能转变。深入推进简政放权、放管结合、优化服务改革，进一步减少行政审批事项，规范和优化对外办理事项，减少职业资格许可和认定等审批事项。实行国家职业资格目录清单管理，加强事中事后监督，创新就业和社会保障等公共服务方式，加强信息共享，提高公共服务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回族自治州人力资源和社会保障局无下属预算单位，下设12个处室，分别是：办公室（组织人事科）、基金监督科（劳动监察科）、法规科、就业促进科、农民工工作科、职业能力建设科（行政审批科）、养老保险科、工伤保险和农村社会保险科、事业单位人事管理科、专业技术人员管理科（人力资源开发管理科、自治州博士后管理办公室）、劳动关系和工资福利科、调解仲裁管理科。</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 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昌州党财【2023】001号文件，下达2021年度自治州博士后资助经费项目资金，预算安排资金总额560.00万元，资金来源为一般财政拨款，其中：财政资金560.00万元、其他资金0.00万元，2023年实际收到预算资金560.00万元，预算资金到位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560.00万元，预算执行率100.00%。本项目资金主要用于支付博士后工作项目费用560.00万元（博士后科研工作站和博士后创新实践基地每引进1名博士，享受每年20.00万元科研经费资助）。</w:t>
      </w:r>
    </w:p>
    <w:p w14:paraId="01087D33">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1B9E3641">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该项目计划完成全州2021年度博士后资助经费发放，发放人数为28人，每人每年20.00万元，共计经费560.00万元，通过该项目实施，我单位能及时掌握各设站单位工作运行情况，可以实地指导在站博士后研究人员进、出站答辩和中期考核等设站单位的日常管理工作。同时，受资助博士后在站期间公开发表论文数量31篇，极大地促进了产学研合作，并持续解决工作生产中的难题；确保引进博士单位满意度达90%以上，也改善了博士科研环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“在站博士数量”指标，预期指标值为“等于28人”；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“受资助博士后在站期间公开发表论文数量”指标，预期指标值为“大于等于14篇”；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“经考核通过博士后工作补贴发放率”指标，预期指标值为“等于100.00%”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“年度符合条件拨款率”指标，预期指标值为“等于100.00%”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“业务运行成本（万元）”指标，预期指标值为“小于等于560.00万元”；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“业务运行成本控制率”指标，预期指标值为“小于等于100.00%”；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“长期发挥引进博士后的社会价值”指标，预期指标值为“长期”；</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“单位满意度”指标，预期指标值为“大于等于90.00%”；</w:t>
      </w:r>
    </w:p>
    <w:p w14:paraId="267AB926">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273C3425">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1DF78D4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2.绩效评价的对象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关于印发&lt;项目支出绩效评价管理办法&gt;的通知》（财预〔2020〕10号）以及自治区财政厅《自治区财政支出绩效评价管理暂行办法》（新财预〔2018〕189号）等文件规定，对2021年度博士后资助经费项目开展部门绩效评价，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财务管理状况和资产配置、使用、处置及其收益管理情况；项目管理相关制度及措施是否被认真执行；绩效目标的实现程度，包括是否达到预定产出和效果等方面开展综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（5）项目其他相关资料。《中共昌吉州委员会办公室 昌吉州人民政府办公室关于印发&lt;昌吉州高层次创新创业人才引进办发（试行）&gt;的通知》(昌州党办发[2017]4号)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（6）《昌吉州人力资源和社会保障服务中心资金管理办法》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（7）《昌吉州人力资源和社会保障服务中心专项资金管理办法》</w:t>
      </w:r>
    </w:p>
    <w:p w14:paraId="58F8DCA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517AA00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21.00%）、过程指标（19.00%）、产出指标（30.00%）、效益指标（30.00%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以及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本次评价采取定量与定性评价相结合的方式，采用比较法、公众评判法对项目实施过程以及预期绩效目标完成情况进行全面、系统的评价，总分由各项指标得分汇总形成。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比较法：通过整理本项目相关资料和数据，评价数量指标的完成情况；通过分析项目的实施情况与绩效目标实现情况，评价项目实施的效果；通过分析项目资金使用情况及产生的效果，评价预算资金分配的合理性。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众评判法：评价组采用实地访谈、远程访谈相结合方式，对本项目的实施情况进行充分调研，了解掌握资金分配、资金管理、资金使用、制度建设、制度执行情况。采用问卷调查方式，对受益对象开展满意度调查，进行综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7448B8F9">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685EF4F4">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10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马军任评价组组长，主要负责项目策划和监督，全面负责项目绩效评价办稿的最终质量，对评估人员出具的最终报告质量进行复核，确保评估结果的客观性；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李哲任评价组副组长，绩效评价工作职责为组织和协调项目工作人员采取实地调查、资料检查等方式，核实项目绩效指标完成情况；组织受益对象对项目工作进行评价等。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单小乐任评价组成员，绩效评价工作职责为做好项目支出绩效评价工作的沟通协调工作，对项目实施情况进行实地调查，编写项目支出绩效评价报告。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2024年3月11日-3月20日，评价工作进入实施阶段。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经调研了解，该项目主要受益群体包括博士后站。我们根据绩效评价目标和绩效指标体系，设计满意度调查问卷进行问卷调查，其中博士后受益对象共选取样本17人，共发放问卷17份，最终收回17份。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2024年3月21日-3月31日，评价小组按照绩效评价的原则和规范，对取得的资料进行审查核实，对采集的数据进行分析，按照绩效评价指标评分表逐项进行打分、分析、汇总各方评价结果。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2024年4月1日-4月30日，评价小组撰写绩效评价报告，按照新疆维吾尔自治区财政绩效管理信息系统绩效评价模块中统一格式和文本框架撰写绩效评价报告并提交审核。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33D709F3">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477B419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达成年初设立的绩效目标，在实施过程中取得了良好的成效，具体表现在：通过项目的实施，完成了2021年度获批在站博士数量28人，受资助博士后在站期间公开发表论文31篇，经考核通过后，博士后工作补贴的发放率和拨款率达到100.00%。博士后资助经费产出目标。发挥了博士后效益，极大地促进了产学研合作，并持续解决工作生产中的难题；确保引进博士单位满意度达90.00%以上，也改善了博士科研环境。但在实施过程中也存在一些不足：自治区考核较晚，影响经费的拨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19个，实现三级指标数量19个，总体完成率为100.00%。最终评分结果：总分为100.00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过程管理类指标共设置5个，满分指标5个，得分率100.00%；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项目效益类指标共设置2个，满分指标2个，得分率100.00%。</w:t>
      </w:r>
    </w:p>
    <w:p w14:paraId="74515B77">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53921AD0">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2E4F16E6">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本项目立项符合昌吉州颁发的《中共昌吉州委员会办公室 昌吉州人民政府办公室关于印发&lt;昌吉州高层次创新创业人才引进办发（试行）&gt;的通知》(昌州党办发[2017]4号)第五条 “博士后科研工作站和博士后创新实践基地每引进1名博士，享受每年20万元科研经费资助”符合行业发展规划和政策要求；本项目立项符合《昌吉州人社局单位配置内设机构和人员编制规定》中职责范围中的“会同有关部门指导事业单位人事制度改革，组织落实事业单位人员和机关工勤人员管理政策，参与人才开发管理工作，组织落实专业技术人员管理和继续教育政策；牵头推进深化职称制度改革工作；负责全州博士后管理工作；负责全州专业技术人才选拔和培养工作，落实国（境）外专家、留学生人员来疆（回疆）工作或定居政策。”，属于我单位履职所需；根据《财政资金直接支付申请书》，本项目资金性质为“公共财政预算”功能分类为“[2080115]博士后日常经费”经济分类为“[30201]办公费”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本项目为非基础建设类项目，属于专项资金安排项目，不涉及事前绩效评估、可行性研究以及风险评估，由我单位严格按照《昌吉州高层次创新创业人才引进办发（试行）》第五条 第一款“博士后科研工作站和博士后创新实践基地每引进1名博士，享受每年20.00万元科研经费资助”文件要求实施项目。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根据规定，为鼓励和支持我州博士后事业的发展，落实自治州博士后工作资助政策，拨付2021年度自治州博士后工作资助经费560.00万元。”；本项目实际工作内容为：经自治区考核合格，发放给各博士后工作站博士后资助经费；绩效目标与实际工作内容一致，两者具有相关性;本项目按照绩效目标完成了数量指标、质量指标、时效指标、成本指标，长期发挥引进博士后的社会价值，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8个，定量指标7个，定性指标1个，指标量化率为87.50%，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本项目预算编制通过相关文件规定得出，即预算编制较科学且经过论证；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2021年度自治州博士后工作资助经费560.00万元，项目实际内容为拨付2021年度自治州博士后工作资助经费560.00万元，预算申请与《2021年度自治州博士后工作资助经费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560.00万元，我单位在预算申请中严格按照单位标准和数量进行核算，其中：单位标准为20.00万元，数量为28人。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2021年度自治州博士后工作资助经费项目资金的请示》和《2021年度自治州博士后工作资助经费项目实施方案》为依据进行资金分配，预算资金分配依据充分。根据昌州党财【2023】001号文件，下达2021年度自治州博士后资助经费项目资金，预算安排资金总额560.00万元。文件显示，本项目实际到位资金560.00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52DCE83B">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758A27E4">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项目过程管理类指标由2个二级指标和5个三级指标构成，权重分19.00分，实际得分19.00分。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560.00万元，其中：本级财政安排资金560.00万元，其他资金0.00万元，实际到位资金560.00万元，资金到位率=（实际到位资金/预算资金）×100.00%=（560/560）*100.00%=100.00%。得分=资金到位率*分值=100.00%*4=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本项目实际支出资金560.00万元，预算执行率=（实际支出资金/实际到位资金）×100.00%=（560/560）*100.00%=100.00%。得分=预算执行率*分值=100.00%*5=5.00分。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人力资源和社会保障局资金管理办法》《昌吉州人力资源和社会保障局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人力资源和社会保障局资金管理办法》《昌吉州人力资源和社会保障局收支业务管理制度》《昌吉州人力资源和社会保障局政府采购业务管理制度》《昌吉州人力资源和社会保障局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2021年度博士后资助经费项目工作领导小组，由局长马军任组长，负责项目的组织工作；李哲任副组长，负责项目的实施工作；组员包括：朱敏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53C6633B">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7A257BE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项目产出类指标由4个二级指标和6个三级指标构成，权重分30.00分，实际得分30.00分。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“在站博士数量”指标，预期指标值为“等于28人”，实际完成指标值为“28人”，指标完成率为100.00%。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“受资助博士后在站期间公开发表论文数量”指标，预期指标值为“大于等于14篇”，根据文章名单及发表论文目录可知，实际完成31篇，指标完成率为100.00%。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“经考核通过博士后工作补贴发放率”指标，预期指标值为“等于100.00%”，根据2021年度博士后资助工作总结、国库集中支付凭证可知，实际完成100.00%，指标完成率为100.00%。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“年度符合条件拨款率”指标，预期指标值为“等于100.00%”，根据2021年度博士后资助工作总结、国库集中支付凭证可知，实际完成100.00%，指标完成率为100.00%。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“业务运行成本（万元）”指标，预期指标值为“小于等于560.00万元”，根据国库集中支付凭证可知，实际完成560.00万元，指标完成率为100.00%。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“业务运行成本控制率”指标，预期指标值为“小于等于100.00%”，实际指标值为“100.00%”，指标完成率为100.00%。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p>
    <w:p w14:paraId="30D91401">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2700C0A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项目效益类指标由2个二级指标和2个三级指标构成，权重分为30.00分，本项目实际得分30.00分，得分率为100.00%。具体各项指标得分如下：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“长期发挥引进博士后的社会价值”指标，预期指标值为“长期”，根据2021年度博士后资助工作总结可知，实际完成值为“好”，指标完成率为100.00%。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综上所述，本指标满分为20.00分，根据评分标准得20.00分。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“单位满意度”指标，预期指标值为“大于等于90.00%”，根据满意度测评及汇总可知，收益对象满意度满意度达94.00%，指标完成率为100.00%，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09F7B097">
      <w:pPr>
        <w:spacing w:line="540" w:lineRule="exact"/>
        <w:ind w:firstLine="567"/>
        <w:rPr>
          <w:rStyle w:val="18"/>
          <w:rFonts w:ascii="楷体" w:hAnsi="楷体" w:eastAsia="楷体"/>
          <w:spacing w:val="-4"/>
          <w:sz w:val="32"/>
          <w:szCs w:val="32"/>
        </w:rPr>
      </w:pPr>
    </w:p>
    <w:p w14:paraId="3AC55779">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02EA0527">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本项目年初预算资金总额为560.00万元，全年预算数为560.00万元，全年执行数为560.00万元，预算执行率为100.00%。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本项目共设置三级指标数量19个，满分指标数量19个，扣分指标数量0个，经分析计算所有三级指标完成率得出，本项目总体完成率为100.00%。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综上所述本项目预算执行进度与总体完成进度之间的偏差为0.00%。无偏差。</w:t>
      </w:r>
    </w:p>
    <w:p w14:paraId="0A547E12">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6D44AF6A">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昌吉州人力资源和社会保障局建立健全了预算管理规章制度，严格按预算编制的原则和要求做好当年预算编制工作，在预算绩效管理工作中，做到合理安排各项资金，重点保障基本支出，按轻重缓急顺序原则，切实优化资源配置，提高了资金使用的效率和效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1.领导重视，推动项目工作落地落实</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人力资源和社会保障局成立绩效评价工作组，单位主要领导为小组长，为有效推进2021年度博士后资助经费项目工作开展，提高财政资金使用效益，项目领导小组进一步强化项目意识，督促实施单位严格实行“三专”管理，即设专户、建专帐、定专人，明确责任和时间节点，一项一项抓好具体落实，确保了项目按时保质完成，保障了项目效益发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2.坚持问题导向，加强执行监控，提高资金效益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坚持系统观念，全面推进州财政转移支付预算执行动态监管。加强财政资金动态监控，及时发现和纠正问题”工作部署，围绕项目资金为中心工作，坚持系统思维，树立财政管理理念，强化预算执行动态监管，保障局机关决策部署落实落地。二是坚持过程控制，实现州财政转移支付预算执行动态监管全覆盖。紧抓重点环节，持续紧盯财政资金预算执行使用环节，充分利用现代技术手段，突出对预算执行的动态监管和过程控制，将所有有规定用途的资金全部纳入日常监管范围，并将资金监管重点延伸到资金使用单位，实现了州财政转移支付资金直到资金使用单位的“全覆盖”监管。三是坚持问题导向，切实提升州财政转移支付预算执行动态监管质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1.绩效预算认识不够充分，绩效理念有待进一步强化</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绩效管理的重要性认识不足。加强预算绩效管理理念虽然已是普遍共识，但对该项工作重要性的认识程度还存在显著差异。不仅是科室之间重视程度不同，同系统上下级之间、不同科室之间也有差异。系统内的认识差异导致多种不利局面，工作推动机制不全，业务人员业务能力和素质还有待进一步提升。</w:t>
      </w:r>
    </w:p>
    <w:p w14:paraId="579F26C9">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646D72A1">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 xml:space="preserve"> 1.加强培训，提高相关人员工作水平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1.加强培训，提高相关人员工作水平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采取多种培训形式对单位财务人员、业务科室人员进行集中培训，进一步树牢绩效观念，提高本单位工作人员的绩效管理能力和工作水平，为预算绩效管理相关工作的顺利开展提供保障。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2.提升预算绩效管理统筹组织能力。</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主管部门应加强工作统筹，持续优化预决算、资产管理、预算执行、绩效管理改革的关系，提升工作协调性；按预算规模、预算层级等实际情况，分类指导开展预算绩效管理工作，体现系统性差异。要加强绩效管理实施，不断优化内部分工、深挖潜力，保障扎实开展预算绩效管理的人员力量；进一步明确系统内项目单位、资金使用终端的绩效管理责任，完善绩效自评工作流程，提升自评工作效率。</w:t>
      </w:r>
    </w:p>
    <w:p w14:paraId="1FB7B386">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70609C90">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01BDFDD8">
      <w:pPr>
        <w:spacing w:line="540" w:lineRule="exact"/>
        <w:ind w:firstLine="567"/>
        <w:rPr>
          <w:rStyle w:val="18"/>
          <w:rFonts w:ascii="仿宋" w:hAnsi="仿宋" w:eastAsia="仿宋"/>
          <w:b w:val="0"/>
          <w:spacing w:val="-4"/>
          <w:sz w:val="32"/>
          <w:szCs w:val="32"/>
        </w:rPr>
      </w:pPr>
    </w:p>
    <w:p w14:paraId="20962624">
      <w:pPr>
        <w:spacing w:line="540" w:lineRule="exact"/>
        <w:ind w:firstLine="567"/>
        <w:rPr>
          <w:rStyle w:val="18"/>
          <w:rFonts w:ascii="仿宋" w:hAnsi="仿宋" w:eastAsia="仿宋"/>
          <w:b w:val="0"/>
          <w:spacing w:val="-4"/>
          <w:sz w:val="32"/>
          <w:szCs w:val="32"/>
        </w:rPr>
      </w:pPr>
    </w:p>
    <w:p w14:paraId="728E51B8">
      <w:pPr>
        <w:spacing w:line="540" w:lineRule="exact"/>
        <w:ind w:firstLine="567"/>
        <w:rPr>
          <w:rStyle w:val="18"/>
          <w:rFonts w:ascii="仿宋" w:hAnsi="仿宋" w:eastAsia="仿宋"/>
          <w:b w:val="0"/>
          <w:spacing w:val="-4"/>
          <w:sz w:val="32"/>
          <w:szCs w:val="32"/>
        </w:rPr>
      </w:pPr>
    </w:p>
    <w:p w14:paraId="7F119CBB">
      <w:pPr>
        <w:spacing w:line="540" w:lineRule="exact"/>
        <w:ind w:firstLine="567"/>
        <w:rPr>
          <w:rStyle w:val="18"/>
          <w:rFonts w:ascii="仿宋" w:hAnsi="仿宋" w:eastAsia="仿宋"/>
          <w:b w:val="0"/>
          <w:spacing w:val="-4"/>
          <w:sz w:val="32"/>
          <w:szCs w:val="32"/>
        </w:rPr>
      </w:pPr>
    </w:p>
    <w:p w14:paraId="7CD6F7E0">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7C9057-33BC-4C32-B2D6-883121D556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92842C4-86AB-4B4C-BF26-E037A6F315C5}"/>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51083319-F42B-4635-BFE8-8F9EC3ABDF18}"/>
  </w:font>
  <w:font w:name="华文中宋">
    <w:panose1 w:val="02010600040101010101"/>
    <w:charset w:val="86"/>
    <w:family w:val="auto"/>
    <w:pitch w:val="default"/>
    <w:sig w:usb0="00000287" w:usb1="080F0000" w:usb2="00000000" w:usb3="00000000" w:csb0="0004009F" w:csb1="DFD70000"/>
    <w:embedRegular r:id="rId4" w:fontKey="{6A9A3A7A-8458-4CBD-952D-295C007CF5FC}"/>
  </w:font>
  <w:font w:name="方正小标宋_GBK">
    <w:panose1 w:val="02000000000000000000"/>
    <w:charset w:val="86"/>
    <w:family w:val="script"/>
    <w:pitch w:val="default"/>
    <w:sig w:usb0="A00002BF" w:usb1="38CF7CFA" w:usb2="00082016" w:usb3="00000000" w:csb0="00040001" w:csb1="00000000"/>
    <w:embedRegular r:id="rId5" w:fontKey="{0F59F859-96C1-48CF-BDBE-537E90527128}"/>
  </w:font>
  <w:font w:name="仿宋_GB2312">
    <w:panose1 w:val="02010609030101010101"/>
    <w:charset w:val="86"/>
    <w:family w:val="modern"/>
    <w:pitch w:val="default"/>
    <w:sig w:usb0="00000001" w:usb1="080E0000" w:usb2="00000000" w:usb3="00000000" w:csb0="00040000" w:csb1="00000000"/>
    <w:embedRegular r:id="rId6" w:fontKey="{50000674-4C96-4576-A21F-1AA76AE94D25}"/>
  </w:font>
  <w:font w:name="楷体">
    <w:panose1 w:val="02010609060101010101"/>
    <w:charset w:val="86"/>
    <w:family w:val="modern"/>
    <w:pitch w:val="default"/>
    <w:sig w:usb0="800002BF" w:usb1="38CF7CFA" w:usb2="00000016" w:usb3="00000000" w:csb0="00040001" w:csb1="00000000"/>
    <w:embedRegular r:id="rId7" w:fontKey="{234D4E08-92CF-4057-AEA3-D6E6880EF6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4231E94D">
        <w:pPr>
          <w:pStyle w:val="12"/>
          <w:jc w:val="center"/>
        </w:pPr>
        <w:r>
          <w:fldChar w:fldCharType="begin"/>
        </w:r>
        <w:r>
          <w:instrText xml:space="preserve">PAGE   \* MERGEFORMAT</w:instrText>
        </w:r>
        <w:r>
          <w:fldChar w:fldCharType="separate"/>
        </w:r>
        <w:r>
          <w:rPr>
            <w:lang w:val="zh-CN"/>
          </w:rPr>
          <w:t>2</w:t>
        </w:r>
        <w:r>
          <w:fldChar w:fldCharType="end"/>
        </w:r>
      </w:p>
    </w:sdtContent>
  </w:sdt>
  <w:p w14:paraId="077D00A6">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3029612C"/>
    <w:rsid w:val="32A221C5"/>
    <w:rsid w:val="33F20F2A"/>
    <w:rsid w:val="34C44675"/>
    <w:rsid w:val="3B5B5607"/>
    <w:rsid w:val="3CE21B3C"/>
    <w:rsid w:val="4B780909"/>
    <w:rsid w:val="4D2606A1"/>
    <w:rsid w:val="51830480"/>
    <w:rsid w:val="53A616BE"/>
    <w:rsid w:val="54662BFB"/>
    <w:rsid w:val="62051CA5"/>
    <w:rsid w:val="64AE066A"/>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101</Words>
  <Characters>112</Characters>
  <Lines>4</Lines>
  <Paragraphs>1</Paragraphs>
  <TotalTime>2</TotalTime>
  <ScaleCrop>false</ScaleCrop>
  <LinksUpToDate>false</LinksUpToDate>
  <CharactersWithSpaces>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2026-09-24T04:03:58Z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8FC63C1DE0124F2BB7411F317714DB88_13</vt:lpwstr>
  </property>
  <property fmtid="{D5CDD505-2E9C-101B-9397-08002B2CF9AE}" pid="4" name="KSOTemplateDocerSaveRecord">
    <vt:lpwstr>eyJoZGlkIjoiM2Q5NDlmNDc3N2ZkYzk3ZGJmOTUwNTM0Mzc5MTVlNDMiLCJ1c2VySWQiOiIzMjQ5NjUzODcifQ==</vt:lpwstr>
  </property>
</Properties>
</file>