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61581">
      <w:pPr>
        <w:spacing w:line="540" w:lineRule="exact"/>
        <w:jc w:val="left"/>
        <w:rPr>
          <w:rFonts w:hint="eastAsia"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6A902686">
      <w:pPr>
        <w:spacing w:line="540" w:lineRule="exact"/>
        <w:jc w:val="center"/>
        <w:rPr>
          <w:rFonts w:hint="eastAsia" w:ascii="华文中宋" w:hAnsi="华文中宋" w:eastAsia="华文中宋" w:cs="宋体"/>
          <w:b/>
          <w:kern w:val="0"/>
          <w:sz w:val="52"/>
          <w:szCs w:val="52"/>
        </w:rPr>
      </w:pPr>
    </w:p>
    <w:p w14:paraId="0600CD72">
      <w:pPr>
        <w:spacing w:line="540" w:lineRule="exact"/>
        <w:jc w:val="center"/>
        <w:rPr>
          <w:rFonts w:hint="eastAsia" w:ascii="华文中宋" w:hAnsi="华文中宋" w:eastAsia="华文中宋" w:cs="宋体"/>
          <w:b/>
          <w:kern w:val="0"/>
          <w:sz w:val="52"/>
          <w:szCs w:val="52"/>
        </w:rPr>
      </w:pPr>
    </w:p>
    <w:p w14:paraId="4078CB7A">
      <w:pPr>
        <w:spacing w:line="540" w:lineRule="exact"/>
        <w:jc w:val="center"/>
        <w:rPr>
          <w:rFonts w:hint="eastAsia" w:ascii="华文中宋" w:hAnsi="华文中宋" w:eastAsia="华文中宋" w:cs="宋体"/>
          <w:b/>
          <w:kern w:val="0"/>
          <w:sz w:val="52"/>
          <w:szCs w:val="52"/>
        </w:rPr>
      </w:pPr>
    </w:p>
    <w:p w14:paraId="57D940DF">
      <w:pPr>
        <w:spacing w:line="540" w:lineRule="exact"/>
        <w:jc w:val="center"/>
        <w:rPr>
          <w:rFonts w:hint="eastAsia" w:ascii="华文中宋" w:hAnsi="华文中宋" w:eastAsia="华文中宋" w:cs="宋体"/>
          <w:b/>
          <w:kern w:val="0"/>
          <w:sz w:val="52"/>
          <w:szCs w:val="52"/>
        </w:rPr>
      </w:pPr>
    </w:p>
    <w:p w14:paraId="4DAD5A94">
      <w:pPr>
        <w:spacing w:line="540" w:lineRule="exact"/>
        <w:jc w:val="center"/>
        <w:rPr>
          <w:rFonts w:hint="eastAsia" w:ascii="华文中宋" w:hAnsi="华文中宋" w:eastAsia="华文中宋" w:cs="宋体"/>
          <w:b/>
          <w:kern w:val="0"/>
          <w:sz w:val="52"/>
          <w:szCs w:val="52"/>
        </w:rPr>
      </w:pPr>
    </w:p>
    <w:p w14:paraId="3D888443">
      <w:pPr>
        <w:spacing w:line="540" w:lineRule="exact"/>
        <w:jc w:val="center"/>
        <w:rPr>
          <w:rFonts w:hint="eastAsia" w:ascii="华文中宋" w:hAnsi="华文中宋" w:eastAsia="华文中宋" w:cs="宋体"/>
          <w:b/>
          <w:kern w:val="0"/>
          <w:sz w:val="52"/>
          <w:szCs w:val="52"/>
        </w:rPr>
      </w:pPr>
    </w:p>
    <w:p w14:paraId="7038B181">
      <w:pPr>
        <w:spacing w:line="540" w:lineRule="exact"/>
        <w:jc w:val="center"/>
        <w:rPr>
          <w:rFonts w:hint="eastAsia"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16CF0020">
      <w:pPr>
        <w:spacing w:line="540" w:lineRule="exact"/>
        <w:jc w:val="center"/>
        <w:rPr>
          <w:rFonts w:hint="eastAsia" w:ascii="华文中宋" w:hAnsi="华文中宋" w:eastAsia="华文中宋" w:cs="宋体"/>
          <w:b/>
          <w:kern w:val="0"/>
          <w:sz w:val="52"/>
          <w:szCs w:val="52"/>
        </w:rPr>
      </w:pPr>
    </w:p>
    <w:p w14:paraId="5A5CB914">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0E97DB5F">
      <w:pPr>
        <w:spacing w:line="540" w:lineRule="exact"/>
        <w:jc w:val="center"/>
        <w:rPr>
          <w:rFonts w:hint="eastAsia" w:hAnsi="宋体" w:eastAsia="仿宋_GB2312" w:cs="宋体"/>
          <w:kern w:val="0"/>
          <w:sz w:val="30"/>
          <w:szCs w:val="30"/>
        </w:rPr>
      </w:pPr>
    </w:p>
    <w:p w14:paraId="24FB833D">
      <w:pPr>
        <w:spacing w:line="540" w:lineRule="exact"/>
        <w:jc w:val="center"/>
        <w:rPr>
          <w:rFonts w:hint="eastAsia" w:hAnsi="宋体" w:eastAsia="仿宋_GB2312" w:cs="宋体"/>
          <w:kern w:val="0"/>
          <w:sz w:val="30"/>
          <w:szCs w:val="30"/>
        </w:rPr>
      </w:pPr>
    </w:p>
    <w:p w14:paraId="148EED6D">
      <w:pPr>
        <w:spacing w:line="540" w:lineRule="exact"/>
        <w:jc w:val="center"/>
        <w:rPr>
          <w:rFonts w:hint="eastAsia" w:hAnsi="宋体" w:eastAsia="仿宋_GB2312" w:cs="宋体"/>
          <w:kern w:val="0"/>
          <w:sz w:val="30"/>
          <w:szCs w:val="30"/>
        </w:rPr>
      </w:pPr>
    </w:p>
    <w:p w14:paraId="65AAF5B9">
      <w:pPr>
        <w:spacing w:line="540" w:lineRule="exact"/>
        <w:jc w:val="center"/>
        <w:rPr>
          <w:rFonts w:hint="eastAsia" w:hAnsi="宋体" w:eastAsia="仿宋_GB2312" w:cs="宋体"/>
          <w:kern w:val="0"/>
          <w:sz w:val="30"/>
          <w:szCs w:val="30"/>
        </w:rPr>
      </w:pPr>
    </w:p>
    <w:p w14:paraId="3001E791">
      <w:pPr>
        <w:spacing w:line="540" w:lineRule="exact"/>
        <w:jc w:val="center"/>
        <w:rPr>
          <w:rFonts w:hint="eastAsia" w:hAnsi="宋体" w:eastAsia="仿宋_GB2312" w:cs="宋体"/>
          <w:kern w:val="0"/>
          <w:sz w:val="30"/>
          <w:szCs w:val="30"/>
        </w:rPr>
      </w:pPr>
    </w:p>
    <w:p w14:paraId="484C8CCE">
      <w:pPr>
        <w:spacing w:line="540" w:lineRule="exact"/>
        <w:jc w:val="center"/>
        <w:rPr>
          <w:rFonts w:hint="eastAsia" w:hAnsi="宋体" w:eastAsia="仿宋_GB2312" w:cs="宋体"/>
          <w:kern w:val="0"/>
          <w:sz w:val="30"/>
          <w:szCs w:val="30"/>
        </w:rPr>
      </w:pPr>
    </w:p>
    <w:p w14:paraId="032D9663">
      <w:pPr>
        <w:spacing w:line="540" w:lineRule="exact"/>
        <w:rPr>
          <w:rFonts w:hint="eastAsia" w:hAnsi="宋体" w:eastAsia="仿宋_GB2312" w:cs="宋体"/>
          <w:kern w:val="0"/>
          <w:sz w:val="30"/>
          <w:szCs w:val="30"/>
        </w:rPr>
      </w:pPr>
    </w:p>
    <w:p w14:paraId="38623166">
      <w:pPr>
        <w:spacing w:line="700" w:lineRule="exact"/>
        <w:jc w:val="left"/>
        <w:rPr>
          <w:rFonts w:hint="eastAsia" w:hAnsi="宋体" w:eastAsia="仿宋_GB2312" w:cs="宋体"/>
          <w:kern w:val="0"/>
          <w:sz w:val="36"/>
          <w:szCs w:val="36"/>
        </w:rPr>
      </w:pPr>
      <w:r>
        <w:rPr>
          <w:rFonts w:hint="eastAsia" w:hAnsi="宋体" w:eastAsia="仿宋_GB2312" w:cs="宋体"/>
          <w:kern w:val="0"/>
          <w:sz w:val="36"/>
          <w:szCs w:val="36"/>
        </w:rPr>
        <w:t xml:space="preserve">     </w:t>
      </w:r>
    </w:p>
    <w:p w14:paraId="6BE9BA83">
      <w:pPr>
        <w:spacing w:line="700" w:lineRule="exact"/>
        <w:ind w:firstLine="900" w:firstLineChars="250"/>
        <w:jc w:val="left"/>
        <w:rPr>
          <w:rFonts w:hint="eastAsia"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人民陪审员经费</w:t>
      </w:r>
    </w:p>
    <w:p w14:paraId="41E66614">
      <w:pPr>
        <w:spacing w:line="540" w:lineRule="exact"/>
        <w:ind w:firstLine="567"/>
        <w:rPr>
          <w:rFonts w:hint="eastAsia"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新疆维吾尔自治区昌吉回族自治州中级人民法院</w:t>
      </w:r>
    </w:p>
    <w:p w14:paraId="0479C1CE">
      <w:pPr>
        <w:spacing w:line="540" w:lineRule="exact"/>
        <w:ind w:firstLine="900" w:firstLineChars="250"/>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新疆维吾尔自治区昌吉回族自治州中级人民法院</w:t>
      </w:r>
    </w:p>
    <w:p w14:paraId="259453AA">
      <w:pPr>
        <w:spacing w:line="540" w:lineRule="exact"/>
        <w:ind w:firstLine="900" w:firstLineChars="250"/>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高光华</w:t>
      </w:r>
    </w:p>
    <w:p w14:paraId="0959B9C5">
      <w:pPr>
        <w:spacing w:line="540" w:lineRule="exact"/>
        <w:ind w:left="273" w:firstLine="567"/>
        <w:rPr>
          <w:rStyle w:val="18"/>
          <w:rFonts w:hint="eastAsia"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2024年04月12日</w:t>
      </w:r>
    </w:p>
    <w:p w14:paraId="7E87FE8C">
      <w:pPr>
        <w:spacing w:line="700" w:lineRule="exact"/>
        <w:ind w:firstLine="708" w:firstLineChars="236"/>
        <w:jc w:val="left"/>
        <w:rPr>
          <w:rFonts w:hint="eastAsia" w:hAnsi="宋体" w:eastAsia="仿宋_GB2312" w:cs="宋体"/>
          <w:kern w:val="0"/>
          <w:sz w:val="30"/>
          <w:szCs w:val="30"/>
        </w:rPr>
      </w:pPr>
    </w:p>
    <w:p w14:paraId="5DCD5BE7">
      <w:pPr>
        <w:spacing w:line="540" w:lineRule="exact"/>
        <w:rPr>
          <w:rStyle w:val="18"/>
          <w:rFonts w:hint="eastAsia" w:ascii="黑体" w:hAnsi="黑体" w:eastAsia="黑体"/>
          <w:b w:val="0"/>
          <w:spacing w:val="-4"/>
          <w:sz w:val="32"/>
          <w:szCs w:val="32"/>
        </w:rPr>
      </w:pPr>
    </w:p>
    <w:p w14:paraId="7556272B">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14:paraId="4863ED61">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73069093">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（一）项目概况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关于印发&lt;自治区高级人民法院关于人民陪审员经费管理问题的意见&gt;的通知》（新高法[2013]47号）文件要求，昌吉州中级人民法院作为国家审判机关，依法独立行使审判权。依法审判法律规定由昌吉州中级人民法院管辖的和其认为应当由自己审判的刑事、民事、行政等一审案件；依法审判法律规定由昌吉州中级人民法院管辖的刑事、民事、行政等第二审案件；依法办理应由昌吉州中级人民法院管辖的减刑、假释案件；受理不服所辖县（市）人民法院裁判生效的各类申诉和申请再审案件，对其中确有错误的，提审或指令下级人民法院再审；依法审判由昌吉州人民检察院按照审判监督程序提出的抗诉案件等工作。为进一步贯彻落实全国人民代表大会常务委员会《关于完善人民陪审员制度的决定》，切实做好人民陪审员经费的保障工作，根据财政部、最高人民法院《关于人民陪审员经费管理有关问题的通知》（财行【2005】72号）精神，自治区法院系统人民陪审员经费需保障人民陪审员费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（1）项目名称：人民陪审员经费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（2）项目主要内容：“人民陪审员业务经费”支出包括交通补助费、培训费、资料费、无固定收入人民陪审员的生活补助费、其他费用等，具体使用范围：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1、交通费补助，人民陪审员应参加审判活动，培训活动而支出的交通费用的补助，每人次案20-50元的标准予以补助，如果超过50元按实际产生的费用报销；</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培训费，人民法院按规定组织人民陪审员岗前培训和任职期间审判业务专项培训活动，所开支的场地租用费，聘请教师讲课费，培训资料费以及人民陪审员在培训期间食宿费用（培训经费按在职干警同等标准列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3、资料费，为人民陪审员提供有关报刊、简报及最新法律书籍等开支的费用，人民陪审员的资料费每人每年按300到500元标准予以补助。</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无固定收入人民陪审员生活补助费，对无固定收入的人民陪审员按其实际参加审判活动、培训活动的工作日，按照当地职工上年度平均货币工资水平计算给予的补助。按案件数量计算补助的，以不低于前一方式补助标准支付。原则上按每天100-200元的补助标准予以补助。有固定收入人民陪审员参加审判活动培训期间，所在法院可根据实际情况参照上述标准给予适当补助；</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其他费用，对人民陪审员的表彰、奖励以及其他与人民陪审员履行职责有关的所必需的费用。人民陪审员因参加审判活动无法按时回家或回原单位就餐的，应当参照当地差旅费标准给予其误餐补助，因参加审判活动培训而支出的住宿费由所属法院参照法院干警差旅费标准予以报销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实施主体：昌吉回族自治州中级人民法院</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为保障依法审判法律规定由昌吉州中级人民法院管辖的和其认为应当由自己审判的刑事、民事、行政等一审案件；依法审判法律规定由昌吉州中级人民法院管辖的刑事、民事、行政等第二审案件；依法办理应由昌吉州中级人民法院管辖的减刑、假释案件；受理不服所辖县（市）人民法院裁判生效的各类申诉和申请再审案件正常审理，需保障自治州法院系统人民陪审员经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本项目于2023年1月开始实施，</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2023年12月已全部完成，通过本项目的实施，提高人民陪审员业务水平，保证公正审判，不断提高司法公信力，提高陪审员的履职能力和业务水平，保证审判质量。</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昌吉州中级人民法院作为国家审判机关，依法独立行使审判权。依法审判法律规定由昌吉州中级人民法院管辖的和其认为应当由自己审判的刑事、民事、行政等一审案件；依法审判法律规定由昌吉州中级人民法院管辖的刑事、民事、行政等第二审案件；依法办理应由昌吉州中级人民法院管辖的减刑、假释案件；受理不服所辖县（市）人民法院裁判生效的各类申诉和申请再审案件，对其中确有错误的，提审或指令下级人民法院再审；依法审判由昌吉州人民检察院按照审判监督程序提出的抗诉案件；对下级人民法院行使案件指定管辖权；监督下级人民法院的审判工作；依法行使司法执行权和司法决定权；依法决定国家赔偿；开展与法院工作有关的调查研究，针对案件审理中发现的突出问题提出司法建议；在审判工作中宣传法制、教育公民自学遵守宪法和法律；监督指导全州法院的执行工作；监督指导全州法院的司法警察工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回族自治州中级人民法院纳入2023年部门决算编制范围的有17个科室，分别是：办公室、政治部、立案一庭、立案二庭、刑事审判第一庭、刑事审判第二庭、民事审判第一庭、民事审判第二庭、民事审判第三庭、行政审判庭、审判监督庭、执行局、法律政策研究室、司法警察支队、信息技术处、纪检监察处、审判管理办公室。</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昌吉州中级人民法院单位编制数162人，实有人数238    人，其中：在职150人，增加7人； 退休87人，增加6人；离休1 人，增加0人。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根据（昌州财行【2023】1号）文件，下达2023年人民陪审员经费项目资金，预算安排资金总额20.00万元，其中财政资金20.00万元、其他资金0.00万元，2023年实际收到预算资金20.00万元，预算资金到位率为100.00%。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18.34万元，预算执行率91.70%（预算执行率=（实际支出资金/到位金额）*100.00%）财政收回资金1.66万元，结转资金额度0.00万元，结余资金额度0.00万元。本项目资金主要用于支付人民陪审员业务费用13.34万元、全年培训费用5.00万元。</w:t>
      </w:r>
    </w:p>
    <w:p w14:paraId="3BD8B9E3">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14:paraId="78D250F8">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计划于2023年培训参加人数不少于300人次；全年表彰县市数量7县（市）；全年培训场次不低于2场；人民陪审员培训合格率不低于95.00%；人民陪审员培训出勤率不低于95.00%；陪审员费用报销及时率100.00%。提高人民陪审员业务水平，保证公正审判，不断提高司法公信力。持续提高陪审员的履职能力和业务水平，保证审判质量。</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“培训参加人数”指标，预期指标值为“大于等于300人次”；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“全年表彰县市数量”指标，预期指标值为“7县市”；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“全年培训场次”指标，预期指标值为“大于等于2场”；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“购买图书批次”指标，预期指标值为“大于等于1批次”；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“人民陪审员培训合格率”指标，预期指标值为“大于等于95.00%”；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“人民陪审员培训出勤率”指标，预期指标值为“大于等于95.00%”；③时效指标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“陪审员费支付及时率”指标，预期指标值为“100.00%”；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“人民陪审员业务经费　”指标，预期指标值为“小于等于15.00万元”；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“全年培训经费”指标，预期指标值为“小于等于5.00万元”；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“提高人民陪审员业务水平，保证公正审判，不断提高司法公信力。”指标，预期指标值为“有效提高”；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“持续提高陪审员的履职能力和业务水平，保证审判质量。”指标，预期指标值为“持续提高”；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“受训人员满意度”指标，预期指标值为“大于等于90.00%”。</w:t>
      </w:r>
    </w:p>
    <w:p w14:paraId="4D60B11D">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0556E117">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5AA917CC">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（一）绩效评价的目的、对象和范围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此次我单位根据《财政支出绩效评价管理暂行办法》（财预〔2020〕10号）文件要求实施评价工作，本次评价对象为人民陪审员经费项目，评价核心为项目资金、项目产出、项目效益。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（5）《关于下达昌吉州本级预算单位2023年部门预算的通知》（昌州财行〔2023〕1号）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w:t>
      </w:r>
      <w:r>
        <w:rPr>
          <w:rStyle w:val="18"/>
          <w:rFonts w:hint="eastAsia" w:ascii="楷体" w:hAnsi="楷体" w:eastAsia="楷体"/>
          <w:b w:val="0"/>
          <w:bCs w:val="0"/>
          <w:spacing w:val="-4"/>
          <w:sz w:val="32"/>
          <w:szCs w:val="32"/>
          <w:lang w:eastAsia="zh-CN"/>
        </w:rPr>
        <w:t>昌吉回族自治州</w:t>
      </w:r>
      <w:r>
        <w:rPr>
          <w:rStyle w:val="18"/>
          <w:rFonts w:hint="eastAsia" w:ascii="楷体" w:hAnsi="楷体" w:eastAsia="楷体"/>
          <w:b w:val="0"/>
          <w:bCs w:val="0"/>
          <w:spacing w:val="-4"/>
          <w:sz w:val="32"/>
          <w:szCs w:val="32"/>
        </w:rPr>
        <w:t>中级人民法院制度汇编》</w:t>
      </w:r>
    </w:p>
    <w:p w14:paraId="44D3D0DA">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36CA53BE">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41B1C9EF">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14:paraId="38633456">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马红军（评价小组组长）：主要负责项目策划和监督，全面负责项目绩效评价办稿的最终质量，对评估人员出具的最终报告质量进行复核，确保评估结果的客观性；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吴军（评价小组组员）：主要负责资料的收集，取证、数据统计分析；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高光华（评价小组组员）：主要负责主要负责项目报告的制定，指标的研判，数据分析及报告撰写。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2024年3月4日-3月15日，评价工作进入实施阶段。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经调研了解，该项目主要受益群体包括受训人民陪审员。我们根据绩效评价目标和绩效指标体系，设计满意度调查问卷进行问卷调查，其中培训受益对象共选取样本304人，共发放问卷304份，最终收回300份。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2024年3月15日-3月26日，评价小组按照绩效评价的原则和规范，对取得的资料进行审查核实，对采集的数据进行分析，按照绩效评价指标评分表逐项进行打分、分析、汇总各方评价结果。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2024年3月26-4月20日，评价小组撰写绩效评价报告，按照新疆维吾尔自治区财政绩效管理信息系统绩效评价模块中统一格式和文本框架撰写绩效评价报告并提交审核。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4DB43F76">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4923BFB6">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较大程度达成年初设立的绩效目标，在实施过程中取得了良好的成效，具体表现在：通过项目的实施，完成了培训304人、表彰7县市、培训2场、购买图书1批等产出目标，发挥了提高人民陪审员业务水平，保证公正审判，不断提高司法公信力；持续提高陪审员的履职能力和业务水平，保证审判质量的效益。但在实施过程中也存在一些不足：资金未及时完全支付。</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23个，实现三级指标数量22个，总体完成率为95.65%。最终评分结果：总分为99.59分，绩效评级为“优”。综合评价结论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过程管理类指标共设置5个，满分指标4个，得分率97.84%；</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项目产出类指标共设置9个，满分指标9个，得分率100.00%；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项目效益类指标共设置3个，满分指标3个，得分率100.00%。</w:t>
      </w:r>
    </w:p>
    <w:p w14:paraId="52C01448">
      <w:pPr>
        <w:spacing w:line="540" w:lineRule="exact"/>
        <w:ind w:firstLine="64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65CC2BB0">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14171577">
      <w:pPr>
        <w:tabs>
          <w:tab w:val="center" w:pos="4295"/>
        </w:tabs>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（一）项目决策情况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本项目立项符合财政部、最高人民法院颁发的《关于人民陪审员经费管理有关问题的通知》（财行【2005】72号）中：“自治区法院系统人民陪审员经费需保障人民陪审员费用”；本项目立项符合《关于下达昌吉州本级预算单位2023年部门预算的通知》（昌州财行〔2023〕1号）中：“拨付20.00万元人民陪审员”内容，符合行业发展规划和政策要求，属于我单位履职所需；根据《财政资金直接支付申请书》，本项目资金性质为“公共财政预算”功能分类为“行政运行”经济分类为“商品和服务支出”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关于下达昌吉州本级预算单位2023年部门预算的通知》（昌州财行〔2023〕1号）文件要求实施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本项目已设置年度绩效目标，具体内容为“培训参加人数300人次；全年表彰县市数量7县（市）；全年培训场次 2场；人民陪审员培训合格率95.00%；人民陪审员培训出勤率95.00%；陪审员费用报销及时率100.00%。提高人民陪审员业务水平，保证公正审判，不断提高司法公信力。持续提高陪审员的履职能力和业务水平，保证审判质量。”；本项目实际工作内容为：用于人民陪审员的各项开支，包括交通补助费、培训费、资料费、无固定收入人民陪审员的生活补助费、其他费用等；绩效目标与实际工作内容一致，两者具有相关性;本项目按照绩效目标完成了数量指标、质量指标、时效指标、成本指标，有效保障了人民陪审员履行规定职责。提高人民陪审员业务水平，保证公正审判，不断提高司法公信力，持续提高陪审员的履职能力，保证审判质量，年度绩效目标完成，预期产出效益和效果符合正常的业绩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12个，定量指标10个，定性指标2个，指标量化率为83.33%，量化率达70.00%以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本项目预算编制通过往年项目执行情况估算得出，即预算编制较科学且经过论证；</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保障人民陪审员业务经费支出，项目实际内容为交通补助费、培训费、资料费、无固定收入人民陪审员的生活补助费、其他费用等，预算申请与《人民陪审员业务经费项目实施方案》中涉及的项目内容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20.00万元，我单位在预算申请中严格按照往年项目执行情况估算进行核算，其中：人民陪审员业务经费为15.00万元，全年培训经费为5.00万元。本项目预算额度测算依据充分，严格按照标准编制，预算确定资金量与实际工作任务相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人民陪审员业务经费项目资金的请示》和《人民陪审员业务经费项目实施方案》为依据进行资金分配，预算资金分配依据充分。根据《关于下达昌吉州本级预算单位2023年部门预算的通知》（昌州财行〔2023〕1号）文件显示，本项目实际到位资金20.00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7E85CB14">
      <w:pPr>
        <w:spacing w:line="540" w:lineRule="exact"/>
        <w:ind w:firstLine="567" w:firstLineChars="181"/>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335BD5CC">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项目过程管理类指标由2个二级指标和5个三级指标构成，权重分19.00分，实际得分18.59分。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20.00元，其中：本级财政安排资金20.00万元，其他资金0.00万元，实际到位资金20.00万元，资金到位率=（实际到位资金/预算资金）×100.00%=（20.00/20.00）*100.00%=100.00%。得分=资金到位率*分值=100.00%*4=4.00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本项目实际支出资金18.34万元，预算执行率=（实际支出资金/实际到位资金）×100.00%=（18.34/20.00）*100.00%=91.70%。得分=预算执行率*分值=91.70%*5=4.59分。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综上所述，本指标满分为5.00分，根据评分标准得4.59分，本项目资金分配合理。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中级人民法院单位资金管理办法》《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中级人民法院资金管理办法》《昌吉州中级人民法院收支业务管理制度》《昌吉州中级人民法院政府采购业务管理制度》《昌吉州中级人民法院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昌吉州中级人民法院项目工作领导小组，由党组书记马红军任组长，负责项目的组织工作；吴斌任副组长，负责项目的实施工作；组员包括：李丹青和高光华，主要负责项目监督管理、验收以及资金核拨等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77ECDEA3">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4A94FCBF">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项目产出类指标由4个二级指标和9个三级指标构成，权重分30.0分，实际得分30.00分。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“培训参加人数”指标：预期指标值为“大于等于300人次”，实际完成指标值为“306人次”，指标完成率为100.00%。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“全年表彰县市数量”指标：预期指标值为“7县市”，实际完成指标值为“7县市”，指标完成率为100.00%。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“全年培训场次”指标：预期指标值为“大于等于2场”，实际完成指标值为“2场”，指标完成率为100.00%。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“购买图书批次”指标：预期指标值为“大于等于1批次”，实际完成指标值为“1批次”，指标完成率为100.00%。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“人民陪审员培训合格率”指标：预期指标值为“大于等于95.00%”，实际完成指标值为“95.00%”，指标完成率为100.00%。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“人民陪审员培训出勤率”指标：预期指标值为“大于等于95.00%”，实际完成指标值为“95.00%”，指标完成率为100.00%。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“陪审员费支付及时率”指标：预期指标值为“100.00%”，实际完成指标值为“100.00%”，指标完成率为100.00%。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“人民陪审员业务经费　”指标：预期指标值为“小于等于15.00万元”，实际完成指标值为“13.34万元”，指标完成率为100.00%。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“全年培训经费”指标：预期指标值为“小于等于5.00万元”，实际完成指标值为“5.00万元”，指标完成率为100.00%。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w:t>
      </w:r>
    </w:p>
    <w:p w14:paraId="1CC42184">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2DBC9B2F">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项目效益类指标由2个二级指标和3个三级指标构成，权重分30.00分，实际得分30.00分。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“提高人民陪审员业务水平，保证公正审判，不断提高司法公信力。”指标：预期指标值为“有效提高”，实际完成指标值为“有效提高”，指标完成率为100.00%。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“持续提高陪审员的履职能力和业务水平，保证审判质量。”指标：预期指标值为“持续提高”，实际完成指标值为“持续提高”，指标完成率为100.00%。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“受训人员满意度”指标：预期指标值为“大于等于90.00%”，实际完成指标值为“95.00%”，指标完成率为100.00%。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p>
    <w:p w14:paraId="5F062BBB">
      <w:pPr>
        <w:spacing w:line="540" w:lineRule="exact"/>
        <w:ind w:firstLine="567"/>
        <w:rPr>
          <w:rStyle w:val="18"/>
          <w:rFonts w:hint="eastAsia" w:ascii="楷体" w:hAnsi="楷体" w:eastAsia="楷体"/>
          <w:spacing w:val="-4"/>
          <w:sz w:val="32"/>
          <w:szCs w:val="32"/>
        </w:rPr>
      </w:pPr>
    </w:p>
    <w:p w14:paraId="1C96A09F">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预算执行进度与绩效指标偏差</w:t>
      </w:r>
    </w:p>
    <w:p w14:paraId="3F0697FB">
      <w:pPr>
        <w:spacing w:line="540" w:lineRule="exact"/>
        <w:ind w:firstLine="567"/>
        <w:rPr>
          <w:rStyle w:val="18"/>
          <w:rFonts w:hint="eastAsia" w:ascii="黑体" w:hAnsi="黑体" w:eastAsia="黑体"/>
          <w:b w:val="0"/>
          <w:spacing w:val="-4"/>
          <w:sz w:val="32"/>
          <w:szCs w:val="32"/>
        </w:rPr>
      </w:pPr>
      <w:r>
        <w:rPr>
          <w:rStyle w:val="18"/>
          <w:rFonts w:hint="eastAsia" w:ascii="楷体" w:hAnsi="楷体" w:eastAsia="楷体"/>
          <w:b w:val="0"/>
          <w:bCs w:val="0"/>
          <w:spacing w:val="-4"/>
          <w:sz w:val="32"/>
          <w:szCs w:val="32"/>
        </w:rPr>
        <w:t>本项目年初预算资金总额为20.00万元，全年预算数为20.00万元，全年执行数为18.34万元，预算执行率为91.70%。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本项目共设置三级指标数量23个，满分指标数量22个，扣分指标数量1个，经分析计算所有三级指标完成率得出，本项目总体完成率为99.59%。</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综上所述本项目预算执行进度与总体完成进度之间的偏差为7.89%。主要偏差原因是：我单位节约资金，按时完成本项目固定内容。</w:t>
      </w:r>
    </w:p>
    <w:p w14:paraId="78C4D26F">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326D42D5">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“人民陪审员业务经费”项目保障了交通补助费、培训费、资料费、无固定收入人民陪审员的生活补助费、其他费用如：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1、交通费补助，人民陪审员应参加审判活动，培训活动而支出的交通费用的补助，每人次案20-50元的标准予以补助，如果超过50元按实际产生的费用报销；</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培训费，人民法院按规定组织人民陪审员岗前培训和任职期间审判业务专项培训活动，所开支的场地租用费，聘请教师讲课费，培训资料费以及人民陪审员在培训期间食宿费用（培训经费按在职干警同等标准列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3、资料费，为人民陪审员提供有关报刊、简报及最新法律书籍等开支的费用，人民陪审员的资料费每人每年按300到500元标准予以补助。</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无固定收入人民陪审员生活补助费，对无固定收入的人民陪审员按其实际参加审判活动、培训活动的工作日，按照当地职工上年度平均货币工资水平计算给予的补助。按案件数量计算补助的，以不低于前一方式补助标准支付。原则上按每天100-200元的补助标准予以补助。有固定收入人民陪审员参加审判活动培训期间，所在法院可根据实际情况参照上述标准给予适当补助；</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其他费用，对人民陪审员的表彰、奖励以及其他与人民陪审员履行职责有关的所必需的费用。人民陪审员因参加审判活动无法按时回家或回原单位就餐的，应当参照当地差旅费标准给予其误餐补助，因参加审判活动培训而支出的住宿费由所属法院参照法院干警差旅费标准予以报销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从而保障人民陪审员履行规定职责。提高人民陪审员业务水平，保证公正审判，不断提高司法公信力，持续提高陪审员的履职能力，保证审判质量。</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当前此项工作还存在一些不足和问题：一是司法理念、工作机制，同审判工作现代化还有差距；二是审判执行效率、效果，同人民群众新期待还有差距；三是 “四源共治”措施、成效，同市域治理现代化还有差距；四是作风整治、权力监督，同从严管党治院要求还有差距。对此，我们将积极采取有效措施，认真加以解决。</w:t>
      </w:r>
    </w:p>
    <w:p w14:paraId="76AEB836">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七、有关建议</w:t>
      </w:r>
    </w:p>
    <w:p w14:paraId="29185606">
      <w:pPr>
        <w:spacing w:line="540" w:lineRule="exact"/>
        <w:ind w:firstLine="567"/>
        <w:rPr>
          <w:rStyle w:val="18"/>
          <w:rFonts w:hint="eastAsia" w:ascii="楷体" w:hAnsi="楷体" w:eastAsia="楷体"/>
          <w:spacing w:val="-4"/>
          <w:sz w:val="32"/>
          <w:szCs w:val="32"/>
        </w:rPr>
      </w:pPr>
      <w:r>
        <w:rPr>
          <w:rStyle w:val="18"/>
          <w:rFonts w:hint="eastAsia" w:ascii="楷体" w:hAnsi="楷体" w:eastAsia="楷体"/>
          <w:b w:val="0"/>
          <w:bCs w:val="0"/>
          <w:spacing w:val="-4"/>
          <w:sz w:val="32"/>
          <w:szCs w:val="32"/>
        </w:rPr>
        <w:t>全州法院主动接受州人大及其常委会的法律监督、工作监督和州政协民主监督，深入贯彻落实州人大常委会关于加强法院行政审判、执行工作的决定，探索“人大代表之家”与人民法庭互嵌运行机制，制定实施《加强人大代表联络 主动接受人大代表监督工作办法》，全方位请示报告工作，积极邀请人大代表、政协委员视察法院、旁听庭审、见证执行、座谈研讨，收集整改意见建议，办理代表建议、政协提案。自觉接受监察监督，支持配合派驻纪检组履行职责。依法接受检察监督，共同维护司法公正。积极保障律师执业权利，共话法律职业共同体。通过开新闻通气会，人民陪审员参审案件等方式积极接受舆论和群众监督。同时加强部门决策、完善工作机制、发挥履职效能、优化支出结构、提高资金使用效益等。</w:t>
      </w:r>
    </w:p>
    <w:p w14:paraId="274FED34">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八、其他需要说明的问题</w:t>
      </w:r>
    </w:p>
    <w:p w14:paraId="0A0496B2">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3B7C0DDA">
      <w:pPr>
        <w:spacing w:line="540" w:lineRule="exact"/>
        <w:ind w:firstLine="567"/>
        <w:rPr>
          <w:rStyle w:val="18"/>
          <w:rFonts w:hint="eastAsia" w:ascii="仿宋" w:hAnsi="仿宋" w:eastAsia="仿宋"/>
          <w:b w:val="0"/>
          <w:spacing w:val="-4"/>
          <w:sz w:val="32"/>
          <w:szCs w:val="32"/>
        </w:rPr>
      </w:pPr>
    </w:p>
    <w:p w14:paraId="056B0337">
      <w:pPr>
        <w:spacing w:line="540" w:lineRule="exact"/>
        <w:ind w:firstLine="567"/>
        <w:rPr>
          <w:rStyle w:val="18"/>
          <w:rFonts w:hint="eastAsia" w:ascii="仿宋" w:hAnsi="仿宋" w:eastAsia="仿宋"/>
          <w:b w:val="0"/>
          <w:spacing w:val="-4"/>
          <w:sz w:val="32"/>
          <w:szCs w:val="32"/>
        </w:rPr>
      </w:pPr>
    </w:p>
    <w:p w14:paraId="38083513">
      <w:pPr>
        <w:spacing w:line="540" w:lineRule="exact"/>
        <w:ind w:firstLine="567"/>
        <w:rPr>
          <w:rStyle w:val="18"/>
          <w:rFonts w:hint="eastAsia" w:ascii="仿宋" w:hAnsi="仿宋" w:eastAsia="仿宋"/>
          <w:b w:val="0"/>
          <w:spacing w:val="-4"/>
          <w:sz w:val="32"/>
          <w:szCs w:val="32"/>
        </w:rPr>
      </w:pPr>
    </w:p>
    <w:p w14:paraId="34FD139D">
      <w:pPr>
        <w:spacing w:line="540" w:lineRule="exact"/>
        <w:ind w:firstLine="567"/>
        <w:rPr>
          <w:rStyle w:val="18"/>
          <w:rFonts w:hint="eastAsia" w:ascii="仿宋" w:hAnsi="仿宋" w:eastAsia="仿宋"/>
          <w:b w:val="0"/>
          <w:spacing w:val="-4"/>
          <w:sz w:val="32"/>
          <w:szCs w:val="32"/>
        </w:rPr>
      </w:pPr>
    </w:p>
    <w:p w14:paraId="7F14FA88">
      <w:pPr>
        <w:spacing w:line="540" w:lineRule="exact"/>
        <w:ind w:firstLine="567"/>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2B5D0D-4008-449B-AB6C-4D11A08E76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0620C90-65C5-472D-884B-9F5EAA90A72D}"/>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F6EB0811-EBCD-4179-815A-8600FB179310}"/>
  </w:font>
  <w:font w:name="华文中宋">
    <w:panose1 w:val="02010600040101010101"/>
    <w:charset w:val="86"/>
    <w:family w:val="auto"/>
    <w:pitch w:val="default"/>
    <w:sig w:usb0="00000287" w:usb1="080F0000" w:usb2="00000000" w:usb3="00000000" w:csb0="0004009F" w:csb1="DFD70000"/>
    <w:embedRegular r:id="rId4" w:fontKey="{09B5CF95-C43D-4815-8914-D627F3D61CA3}"/>
  </w:font>
  <w:font w:name="方正小标宋_GBK">
    <w:panose1 w:val="02000000000000000000"/>
    <w:charset w:val="86"/>
    <w:family w:val="script"/>
    <w:pitch w:val="default"/>
    <w:sig w:usb0="A00002BF" w:usb1="38CF7CFA" w:usb2="00082016" w:usb3="00000000" w:csb0="00040001" w:csb1="00000000"/>
    <w:embedRegular r:id="rId5" w:fontKey="{363553CC-F24E-4296-92AD-3F03229A4813}"/>
  </w:font>
  <w:font w:name="仿宋_GB2312">
    <w:panose1 w:val="02010609030101010101"/>
    <w:charset w:val="86"/>
    <w:family w:val="modern"/>
    <w:pitch w:val="default"/>
    <w:sig w:usb0="00000001" w:usb1="080E0000" w:usb2="00000000" w:usb3="00000000" w:csb0="00040000" w:csb1="00000000"/>
    <w:embedRegular r:id="rId6" w:fontKey="{4AF5BF5E-EC2C-4613-8E11-4B16E22BB564}"/>
  </w:font>
  <w:font w:name="楷体">
    <w:panose1 w:val="02010609060101010101"/>
    <w:charset w:val="86"/>
    <w:family w:val="modern"/>
    <w:pitch w:val="default"/>
    <w:sig w:usb0="800002BF" w:usb1="38CF7CFA" w:usb2="00000016" w:usb3="00000000" w:csb0="00040001" w:csb1="00000000"/>
    <w:embedRegular r:id="rId7" w:fontKey="{CD75A3DF-1234-48FE-8AD5-293267D24A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20265341">
        <w:pPr>
          <w:pStyle w:val="12"/>
          <w:jc w:val="center"/>
        </w:pPr>
        <w:r>
          <w:fldChar w:fldCharType="begin"/>
        </w:r>
        <w:r>
          <w:instrText xml:space="preserve">PAGE   \* MERGEFORMAT</w:instrText>
        </w:r>
        <w:r>
          <w:fldChar w:fldCharType="separate"/>
        </w:r>
        <w:r>
          <w:rPr>
            <w:lang w:val="zh-CN"/>
          </w:rPr>
          <w:t>2</w:t>
        </w:r>
        <w:r>
          <w:fldChar w:fldCharType="end"/>
        </w:r>
      </w:p>
    </w:sdtContent>
  </w:sdt>
  <w:p w14:paraId="6523262A">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110C0"/>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652950"/>
    <w:rsid w:val="00746CD4"/>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22C04"/>
    <w:rsid w:val="00E30E91"/>
    <w:rsid w:val="00E769FE"/>
    <w:rsid w:val="00EA2CBE"/>
    <w:rsid w:val="00F32FEE"/>
    <w:rsid w:val="00FB10BB"/>
    <w:rsid w:val="0856517C"/>
    <w:rsid w:val="0BFB189F"/>
    <w:rsid w:val="11BD75F7"/>
    <w:rsid w:val="13BE561A"/>
    <w:rsid w:val="15392994"/>
    <w:rsid w:val="15745FFB"/>
    <w:rsid w:val="18FE139B"/>
    <w:rsid w:val="3029612C"/>
    <w:rsid w:val="32A221C5"/>
    <w:rsid w:val="33F20F2A"/>
    <w:rsid w:val="34C44675"/>
    <w:rsid w:val="3B5B5607"/>
    <w:rsid w:val="3CE21B3C"/>
    <w:rsid w:val="49C74304"/>
    <w:rsid w:val="4D2606A1"/>
    <w:rsid w:val="51830480"/>
    <w:rsid w:val="53A616BE"/>
    <w:rsid w:val="54662BFB"/>
    <w:rsid w:val="5F0A2395"/>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qFormat/>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qFormat/>
    <w:uiPriority w:val="10"/>
    <w:rPr>
      <w:rFonts w:asciiTheme="majorHAnsi" w:hAnsiTheme="majorHAnsi" w:eastAsiaTheme="majorEastAsia"/>
      <w:b/>
      <w:bCs/>
      <w:kern w:val="28"/>
      <w:sz w:val="32"/>
      <w:szCs w:val="32"/>
    </w:rPr>
  </w:style>
  <w:style w:type="character" w:customStyle="1" w:styleId="30">
    <w:name w:val="副标题 字符"/>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qFormat/>
    <w:uiPriority w:val="99"/>
    <w:rPr>
      <w:rFonts w:ascii="Calibri" w:hAnsi="Calibri" w:eastAsia="宋体"/>
      <w:kern w:val="2"/>
      <w:sz w:val="18"/>
      <w:szCs w:val="18"/>
    </w:rPr>
  </w:style>
  <w:style w:type="character" w:customStyle="1" w:styleId="44">
    <w:name w:val="页脚 字符"/>
    <w:basedOn w:val="17"/>
    <w:link w:val="12"/>
    <w:qFormat/>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115</Words>
  <Characters>123</Characters>
  <Lines>90</Lines>
  <Paragraphs>25</Paragraphs>
  <TotalTime>2</TotalTime>
  <ScaleCrop>false</ScaleCrop>
  <LinksUpToDate>false</LinksUpToDate>
  <CharactersWithSpaces>135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2026-09-24T03:54:41Z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