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57671B">
      <w:pPr>
        <w:spacing w:line="540" w:lineRule="exact"/>
        <w:jc w:val="left"/>
        <w:rPr>
          <w:rFonts w:ascii="仿宋" w:hAnsi="仿宋" w:eastAsia="仿宋" w:cs="宋体"/>
          <w:color w:val="auto"/>
          <w:kern w:val="0"/>
          <w:sz w:val="32"/>
          <w:szCs w:val="32"/>
        </w:rPr>
      </w:pPr>
      <w:bookmarkStart w:id="0" w:name="_GoBack"/>
      <w:bookmarkEnd w:id="0"/>
      <w:r>
        <w:rPr>
          <w:rFonts w:hint="eastAsia" w:ascii="仿宋" w:hAnsi="仿宋" w:eastAsia="仿宋" w:cs="宋体"/>
          <w:color w:val="auto"/>
          <w:kern w:val="0"/>
          <w:sz w:val="32"/>
          <w:szCs w:val="32"/>
        </w:rPr>
        <w:t>附件2：</w:t>
      </w:r>
    </w:p>
    <w:p w14:paraId="6AC08418">
      <w:pPr>
        <w:spacing w:line="540" w:lineRule="exact"/>
        <w:jc w:val="center"/>
        <w:rPr>
          <w:rFonts w:ascii="华文中宋" w:hAnsi="华文中宋" w:eastAsia="华文中宋" w:cs="宋体"/>
          <w:b/>
          <w:color w:val="auto"/>
          <w:kern w:val="0"/>
          <w:sz w:val="52"/>
          <w:szCs w:val="52"/>
        </w:rPr>
      </w:pPr>
    </w:p>
    <w:p w14:paraId="10ECAA88">
      <w:pPr>
        <w:spacing w:line="540" w:lineRule="exact"/>
        <w:jc w:val="center"/>
        <w:rPr>
          <w:rFonts w:ascii="华文中宋" w:hAnsi="华文中宋" w:eastAsia="华文中宋" w:cs="宋体"/>
          <w:b/>
          <w:color w:val="auto"/>
          <w:kern w:val="0"/>
          <w:sz w:val="52"/>
          <w:szCs w:val="52"/>
        </w:rPr>
      </w:pPr>
    </w:p>
    <w:p w14:paraId="7391F43F">
      <w:pPr>
        <w:spacing w:line="540" w:lineRule="exact"/>
        <w:jc w:val="center"/>
        <w:rPr>
          <w:rFonts w:ascii="华文中宋" w:hAnsi="华文中宋" w:eastAsia="华文中宋" w:cs="宋体"/>
          <w:b/>
          <w:color w:val="auto"/>
          <w:kern w:val="0"/>
          <w:sz w:val="52"/>
          <w:szCs w:val="52"/>
        </w:rPr>
      </w:pPr>
    </w:p>
    <w:p w14:paraId="334BA7F9">
      <w:pPr>
        <w:spacing w:line="540" w:lineRule="exact"/>
        <w:jc w:val="center"/>
        <w:rPr>
          <w:rFonts w:ascii="华文中宋" w:hAnsi="华文中宋" w:eastAsia="华文中宋" w:cs="宋体"/>
          <w:b/>
          <w:color w:val="auto"/>
          <w:kern w:val="0"/>
          <w:sz w:val="52"/>
          <w:szCs w:val="52"/>
        </w:rPr>
      </w:pPr>
    </w:p>
    <w:p w14:paraId="5326169B">
      <w:pPr>
        <w:spacing w:line="540" w:lineRule="exact"/>
        <w:jc w:val="center"/>
        <w:rPr>
          <w:rFonts w:ascii="华文中宋" w:hAnsi="华文中宋" w:eastAsia="华文中宋" w:cs="宋体"/>
          <w:b/>
          <w:color w:val="auto"/>
          <w:kern w:val="0"/>
          <w:sz w:val="52"/>
          <w:szCs w:val="52"/>
        </w:rPr>
      </w:pPr>
    </w:p>
    <w:p w14:paraId="24872867">
      <w:pPr>
        <w:spacing w:line="540" w:lineRule="exact"/>
        <w:jc w:val="center"/>
        <w:rPr>
          <w:rFonts w:ascii="华文中宋" w:hAnsi="华文中宋" w:eastAsia="华文中宋" w:cs="宋体"/>
          <w:b/>
          <w:color w:val="auto"/>
          <w:kern w:val="0"/>
          <w:sz w:val="52"/>
          <w:szCs w:val="52"/>
        </w:rPr>
      </w:pPr>
    </w:p>
    <w:p w14:paraId="5AF959B2">
      <w:pPr>
        <w:spacing w:line="540" w:lineRule="exact"/>
        <w:jc w:val="center"/>
        <w:rPr>
          <w:rFonts w:ascii="方正小标宋_GBK" w:hAnsi="华文中宋" w:eastAsia="方正小标宋_GBK" w:cs="宋体"/>
          <w:b/>
          <w:color w:val="auto"/>
          <w:kern w:val="0"/>
          <w:sz w:val="48"/>
          <w:szCs w:val="48"/>
        </w:rPr>
      </w:pPr>
      <w:r>
        <w:rPr>
          <w:rFonts w:hint="eastAsia" w:ascii="方正小标宋_GBK" w:hAnsi="华文中宋" w:eastAsia="方正小标宋_GBK" w:cs="宋体"/>
          <w:b/>
          <w:color w:val="auto"/>
          <w:kern w:val="0"/>
          <w:sz w:val="48"/>
          <w:szCs w:val="48"/>
        </w:rPr>
        <w:t>项目支出绩效自评报告</w:t>
      </w:r>
    </w:p>
    <w:p w14:paraId="29EA9407">
      <w:pPr>
        <w:spacing w:line="540" w:lineRule="exact"/>
        <w:jc w:val="center"/>
        <w:rPr>
          <w:rFonts w:ascii="华文中宋" w:hAnsi="华文中宋" w:eastAsia="华文中宋" w:cs="宋体"/>
          <w:b/>
          <w:color w:val="auto"/>
          <w:kern w:val="0"/>
          <w:sz w:val="52"/>
          <w:szCs w:val="52"/>
        </w:rPr>
      </w:pPr>
    </w:p>
    <w:p w14:paraId="6511DC09">
      <w:pPr>
        <w:spacing w:line="540" w:lineRule="exact"/>
        <w:jc w:val="center"/>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r>
        <w:rPr>
          <w:rStyle w:val="18"/>
          <w:rFonts w:hint="eastAsia" w:ascii="楷体" w:hAnsi="楷体" w:eastAsia="楷体"/>
          <w:color w:val="auto"/>
          <w:spacing w:val="-4"/>
          <w:sz w:val="32"/>
          <w:szCs w:val="32"/>
        </w:rPr>
        <w:t>2023</w:t>
      </w:r>
      <w:r>
        <w:rPr>
          <w:rFonts w:hint="eastAsia" w:hAnsi="宋体" w:eastAsia="仿宋_GB2312" w:cs="宋体"/>
          <w:color w:val="auto"/>
          <w:kern w:val="0"/>
          <w:sz w:val="36"/>
          <w:szCs w:val="36"/>
        </w:rPr>
        <w:t xml:space="preserve">  年度）</w:t>
      </w:r>
    </w:p>
    <w:p w14:paraId="448F4505">
      <w:pPr>
        <w:spacing w:line="540" w:lineRule="exact"/>
        <w:jc w:val="center"/>
        <w:rPr>
          <w:rFonts w:hAnsi="宋体" w:eastAsia="仿宋_GB2312" w:cs="宋体"/>
          <w:color w:val="auto"/>
          <w:kern w:val="0"/>
          <w:sz w:val="30"/>
          <w:szCs w:val="30"/>
        </w:rPr>
      </w:pPr>
    </w:p>
    <w:p w14:paraId="371EFCB2">
      <w:pPr>
        <w:spacing w:line="540" w:lineRule="exact"/>
        <w:jc w:val="center"/>
        <w:rPr>
          <w:rFonts w:hAnsi="宋体" w:eastAsia="仿宋_GB2312" w:cs="宋体"/>
          <w:color w:val="auto"/>
          <w:kern w:val="0"/>
          <w:sz w:val="30"/>
          <w:szCs w:val="30"/>
        </w:rPr>
      </w:pPr>
    </w:p>
    <w:p w14:paraId="2F8D2309">
      <w:pPr>
        <w:spacing w:line="540" w:lineRule="exact"/>
        <w:jc w:val="center"/>
        <w:rPr>
          <w:rFonts w:hAnsi="宋体" w:eastAsia="仿宋_GB2312" w:cs="宋体"/>
          <w:color w:val="auto"/>
          <w:kern w:val="0"/>
          <w:sz w:val="30"/>
          <w:szCs w:val="30"/>
        </w:rPr>
      </w:pPr>
    </w:p>
    <w:p w14:paraId="694FA0D6">
      <w:pPr>
        <w:spacing w:line="540" w:lineRule="exact"/>
        <w:jc w:val="center"/>
        <w:rPr>
          <w:rFonts w:hAnsi="宋体" w:eastAsia="仿宋_GB2312" w:cs="宋体"/>
          <w:color w:val="auto"/>
          <w:kern w:val="0"/>
          <w:sz w:val="30"/>
          <w:szCs w:val="30"/>
        </w:rPr>
      </w:pPr>
    </w:p>
    <w:p w14:paraId="03C282A8">
      <w:pPr>
        <w:spacing w:line="540" w:lineRule="exact"/>
        <w:jc w:val="center"/>
        <w:rPr>
          <w:rFonts w:hAnsi="宋体" w:eastAsia="仿宋_GB2312" w:cs="宋体"/>
          <w:color w:val="auto"/>
          <w:kern w:val="0"/>
          <w:sz w:val="30"/>
          <w:szCs w:val="30"/>
        </w:rPr>
      </w:pPr>
    </w:p>
    <w:p w14:paraId="25671909">
      <w:pPr>
        <w:spacing w:line="540" w:lineRule="exact"/>
        <w:jc w:val="center"/>
        <w:rPr>
          <w:rFonts w:hAnsi="宋体" w:eastAsia="仿宋_GB2312" w:cs="宋体"/>
          <w:color w:val="auto"/>
          <w:kern w:val="0"/>
          <w:sz w:val="30"/>
          <w:szCs w:val="30"/>
        </w:rPr>
      </w:pPr>
    </w:p>
    <w:p w14:paraId="0F47C069">
      <w:pPr>
        <w:spacing w:line="540" w:lineRule="exact"/>
        <w:rPr>
          <w:rFonts w:hAnsi="宋体" w:eastAsia="仿宋_GB2312" w:cs="宋体"/>
          <w:color w:val="auto"/>
          <w:kern w:val="0"/>
          <w:sz w:val="30"/>
          <w:szCs w:val="30"/>
        </w:rPr>
      </w:pPr>
    </w:p>
    <w:p w14:paraId="04A941D4">
      <w:pPr>
        <w:spacing w:line="700" w:lineRule="exact"/>
        <w:jc w:val="left"/>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p>
    <w:p w14:paraId="6EFD8FD9">
      <w:pPr>
        <w:spacing w:line="700" w:lineRule="exact"/>
        <w:ind w:firstLine="900" w:firstLineChars="250"/>
        <w:jc w:val="left"/>
        <w:rPr>
          <w:rFonts w:hAnsi="宋体" w:eastAsia="仿宋_GB2312" w:cs="宋体"/>
          <w:color w:val="auto"/>
          <w:kern w:val="0"/>
          <w:sz w:val="36"/>
          <w:szCs w:val="36"/>
        </w:rPr>
      </w:pPr>
      <w:r>
        <w:rPr>
          <w:rFonts w:hint="eastAsia" w:hAnsi="宋体" w:eastAsia="仿宋_GB2312" w:cs="宋体"/>
          <w:color w:val="auto"/>
          <w:kern w:val="0"/>
          <w:sz w:val="36"/>
          <w:szCs w:val="36"/>
        </w:rPr>
        <w:t>项目名称：</w:t>
      </w:r>
      <w:r>
        <w:rPr>
          <w:rStyle w:val="18"/>
          <w:rFonts w:hint="eastAsia" w:ascii="楷体" w:hAnsi="楷体" w:eastAsia="楷体"/>
          <w:color w:val="auto"/>
          <w:spacing w:val="-4"/>
          <w:sz w:val="32"/>
          <w:szCs w:val="32"/>
        </w:rPr>
        <w:t>业务费补助</w:t>
      </w:r>
    </w:p>
    <w:p w14:paraId="16FF40E5">
      <w:pPr>
        <w:spacing w:line="540" w:lineRule="exact"/>
        <w:ind w:firstLine="567"/>
        <w:rPr>
          <w:rFonts w:ascii="楷体" w:hAnsi="楷体" w:eastAsia="楷体"/>
          <w:b/>
          <w:bCs/>
          <w:color w:val="auto"/>
          <w:spacing w:val="-4"/>
          <w:sz w:val="32"/>
          <w:szCs w:val="32"/>
        </w:rPr>
      </w:pPr>
      <w:r>
        <w:rPr>
          <w:rFonts w:hint="eastAsia" w:hAnsi="宋体" w:eastAsia="仿宋_GB2312" w:cs="宋体"/>
          <w:color w:val="auto"/>
          <w:kern w:val="0"/>
          <w:sz w:val="36"/>
          <w:szCs w:val="36"/>
        </w:rPr>
        <w:t xml:space="preserve">  实施单位（公章）：</w:t>
      </w:r>
      <w:r>
        <w:rPr>
          <w:rStyle w:val="18"/>
          <w:rFonts w:hint="eastAsia" w:ascii="楷体" w:hAnsi="楷体" w:eastAsia="楷体"/>
          <w:color w:val="auto"/>
          <w:spacing w:val="-4"/>
          <w:sz w:val="28"/>
          <w:szCs w:val="28"/>
        </w:rPr>
        <w:t>吉木萨尔县人民法院</w:t>
      </w:r>
    </w:p>
    <w:p w14:paraId="3E13B586">
      <w:pPr>
        <w:spacing w:line="540" w:lineRule="exact"/>
        <w:ind w:firstLine="900" w:firstLineChars="250"/>
        <w:rPr>
          <w:rFonts w:ascii="楷体" w:hAnsi="楷体" w:eastAsia="楷体"/>
          <w:b/>
          <w:bCs/>
          <w:color w:val="auto"/>
          <w:spacing w:val="-4"/>
          <w:sz w:val="28"/>
          <w:szCs w:val="28"/>
        </w:rPr>
      </w:pPr>
      <w:r>
        <w:rPr>
          <w:rFonts w:hint="eastAsia" w:hAnsi="宋体" w:eastAsia="仿宋_GB2312" w:cs="宋体"/>
          <w:color w:val="auto"/>
          <w:kern w:val="0"/>
          <w:sz w:val="36"/>
          <w:szCs w:val="36"/>
        </w:rPr>
        <w:t>主管部门（公章）：</w:t>
      </w:r>
      <w:r>
        <w:rPr>
          <w:rStyle w:val="18"/>
          <w:rFonts w:hint="eastAsia" w:ascii="楷体" w:hAnsi="楷体" w:eastAsia="楷体"/>
          <w:color w:val="auto"/>
          <w:spacing w:val="-4"/>
          <w:sz w:val="28"/>
          <w:szCs w:val="28"/>
        </w:rPr>
        <w:t>吉木萨尔县人民法院</w:t>
      </w:r>
    </w:p>
    <w:p w14:paraId="4B7632A1">
      <w:pPr>
        <w:spacing w:line="540" w:lineRule="exact"/>
        <w:ind w:firstLine="900" w:firstLineChars="250"/>
        <w:rPr>
          <w:rFonts w:ascii="楷体" w:hAnsi="楷体" w:eastAsia="楷体"/>
          <w:b/>
          <w:bCs/>
          <w:color w:val="auto"/>
          <w:spacing w:val="-4"/>
          <w:sz w:val="32"/>
          <w:szCs w:val="32"/>
        </w:rPr>
      </w:pPr>
      <w:r>
        <w:rPr>
          <w:rFonts w:hint="eastAsia" w:hAnsi="宋体" w:eastAsia="仿宋_GB2312" w:cs="宋体"/>
          <w:color w:val="auto"/>
          <w:kern w:val="0"/>
          <w:sz w:val="36"/>
          <w:szCs w:val="36"/>
        </w:rPr>
        <w:t>项目负责人（签章）：</w:t>
      </w:r>
      <w:r>
        <w:rPr>
          <w:rStyle w:val="18"/>
          <w:rFonts w:hint="eastAsia" w:ascii="楷体" w:hAnsi="楷体" w:eastAsia="楷体"/>
          <w:color w:val="auto"/>
          <w:spacing w:val="-4"/>
          <w:sz w:val="32"/>
          <w:szCs w:val="32"/>
        </w:rPr>
        <w:t>李召军</w:t>
      </w:r>
    </w:p>
    <w:p w14:paraId="2F40096A">
      <w:pPr>
        <w:spacing w:line="540" w:lineRule="exact"/>
        <w:ind w:left="273" w:firstLine="567"/>
        <w:rPr>
          <w:rStyle w:val="18"/>
          <w:rFonts w:ascii="楷体" w:hAnsi="楷体" w:eastAsia="楷体"/>
          <w:color w:val="auto"/>
          <w:spacing w:val="-4"/>
          <w:sz w:val="32"/>
          <w:szCs w:val="32"/>
        </w:rPr>
      </w:pPr>
      <w:r>
        <w:rPr>
          <w:rFonts w:hint="eastAsia" w:hAnsi="宋体" w:eastAsia="仿宋_GB2312" w:cs="宋体"/>
          <w:color w:val="auto"/>
          <w:kern w:val="0"/>
          <w:sz w:val="36"/>
          <w:szCs w:val="36"/>
        </w:rPr>
        <w:t>填报时间：</w:t>
      </w:r>
      <w:r>
        <w:rPr>
          <w:rStyle w:val="18"/>
          <w:rFonts w:hint="eastAsia" w:ascii="楷体" w:hAnsi="楷体" w:eastAsia="楷体"/>
          <w:color w:val="auto"/>
          <w:spacing w:val="-4"/>
          <w:sz w:val="32"/>
          <w:szCs w:val="32"/>
        </w:rPr>
        <w:t>2024年03月15日</w:t>
      </w:r>
    </w:p>
    <w:p w14:paraId="429A1D66">
      <w:pPr>
        <w:spacing w:line="700" w:lineRule="exact"/>
        <w:ind w:firstLine="708" w:firstLineChars="236"/>
        <w:jc w:val="left"/>
        <w:rPr>
          <w:rFonts w:hAnsi="宋体" w:eastAsia="仿宋_GB2312" w:cs="宋体"/>
          <w:color w:val="auto"/>
          <w:kern w:val="0"/>
          <w:sz w:val="30"/>
          <w:szCs w:val="30"/>
        </w:rPr>
      </w:pPr>
    </w:p>
    <w:p w14:paraId="5053420F">
      <w:pPr>
        <w:spacing w:line="540" w:lineRule="exact"/>
        <w:rPr>
          <w:rStyle w:val="18"/>
          <w:rFonts w:ascii="黑体" w:hAnsi="黑体" w:eastAsia="黑体"/>
          <w:b w:val="0"/>
          <w:color w:val="auto"/>
          <w:spacing w:val="-4"/>
          <w:sz w:val="32"/>
          <w:szCs w:val="32"/>
        </w:rPr>
      </w:pPr>
    </w:p>
    <w:p w14:paraId="2C8C7815">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一、基本情况</w:t>
      </w:r>
    </w:p>
    <w:p w14:paraId="5BFDFA89">
      <w:pPr>
        <w:spacing w:line="540" w:lineRule="exact"/>
        <w:ind w:firstLine="567"/>
        <w:rPr>
          <w:rStyle w:val="18"/>
          <w:rFonts w:hint="default" w:ascii="楷体" w:hAnsi="楷体" w:eastAsia="楷体"/>
          <w:color w:val="auto"/>
          <w:spacing w:val="-4"/>
          <w:sz w:val="32"/>
          <w:szCs w:val="32"/>
          <w:lang w:val="en-US" w:eastAsia="zh-CN"/>
        </w:rPr>
      </w:pPr>
      <w:r>
        <w:rPr>
          <w:rStyle w:val="18"/>
          <w:rFonts w:hint="eastAsia" w:ascii="楷体" w:hAnsi="楷体" w:eastAsia="楷体"/>
          <w:color w:val="auto"/>
          <w:spacing w:val="-4"/>
          <w:sz w:val="32"/>
          <w:szCs w:val="32"/>
        </w:rPr>
        <w:t>（一）项目概况</w:t>
      </w:r>
      <w:r>
        <w:rPr>
          <w:rStyle w:val="18"/>
          <w:rFonts w:hint="eastAsia" w:ascii="楷体" w:hAnsi="楷体" w:eastAsia="楷体"/>
          <w:color w:val="auto"/>
          <w:spacing w:val="-4"/>
          <w:sz w:val="32"/>
          <w:szCs w:val="32"/>
          <w:lang w:eastAsia="zh-CN"/>
        </w:rPr>
        <w:t>。</w:t>
      </w:r>
    </w:p>
    <w:p w14:paraId="013DA0DA">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1.项目背景</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为了提高审判办案质效，保障法院重点工作，弥补法院项目经费不足的情况，最高人民法院财政部下发了《司法行政机关办案(业务)经费和业务装备经费开支范围》[85]司发计字第384号)、《最高人民法院关于进一步推进案件繁简分流优化司法资源配置的若干意见》（法发〔2016〕21号），该通知主要是围绕法院审判办案所需的业务经费以及办案有关的一些经费支出作出规范要求，以提高审判办案质效，提高案件结案率、执行率，保障法院重点工作，弥补法院项目经费不足的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2023年，吉木萨尔县人民法院使用该项目资金主要用于保障法院依法履行审判执行、受理案件职责，保障35名工作人员工资，保障17辆公务车辆正常运行，维修法庭及审判大楼500平方米。通过实施该项目，有利于为我院提供必要的经费支持，提升了干警满意度，维护社会稳定与长治久安。</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2.主要内容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（1）项目名称：业务费补助项目（以下简称“该项目”或“项目”）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主要内容：本项目主要用于法院依法履行审判执行、受理案件经费支出，支出35名干部4个月工资、差旅费、办公费，支出维修500平方米法庭及审判大楼维修费，支出17辆公务车辆运行维护费，项目的实施提升了干警满意度，维护了社会稳定与长治久安。</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3.实施情况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实施主体：吉木萨尔县人民法院。</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实施时间：本项目实施周期为2023年1月-2023年12月。</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实施情况：本项目于2023年1月开始实施，</w:t>
      </w:r>
      <w:r>
        <w:rPr>
          <w:rStyle w:val="18"/>
          <w:rFonts w:hint="eastAsia" w:ascii="楷体" w:hAnsi="楷体" w:eastAsia="楷体"/>
          <w:b w:val="0"/>
          <w:bCs w:val="0"/>
          <w:color w:val="auto"/>
          <w:spacing w:val="-4"/>
          <w:sz w:val="32"/>
          <w:szCs w:val="32"/>
          <w:lang w:eastAsia="zh-CN"/>
        </w:rPr>
        <w:t>截至</w:t>
      </w:r>
      <w:r>
        <w:rPr>
          <w:rStyle w:val="18"/>
          <w:rFonts w:hint="eastAsia" w:ascii="楷体" w:hAnsi="楷体" w:eastAsia="楷体"/>
          <w:b w:val="0"/>
          <w:bCs w:val="0"/>
          <w:color w:val="auto"/>
          <w:spacing w:val="-4"/>
          <w:sz w:val="32"/>
          <w:szCs w:val="32"/>
        </w:rPr>
        <w:t>2023年12月支出69.91万元，分别为支出35名干部4个月工资、差旅费、办公费63.75万元，支出维修500平方米法庭及审判大楼10.00万元，支出17辆公务车辆运行维护费6.16万元通过本项目的实施，提升了干警满意度，维护了社会稳定与长治久安。</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4.项目实施主体</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（1）主要职能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吉木萨尔县人民法院是党领导下国家的审判机关，对县人民代表大会及其 常委会负责并报告工作，接受上级人民法院的监督和业务指导，其主要职责是：审判法律规定由县人民法院管辖的刑事、民事、行政案件。审理 由上级人民法院指定管辖的刑事、民事、行政案件。审理由上级人民法 院交办的再审案件。依法行使司法执行权和司法决定权。在审判工 作中宣传法制、教育公民自觉遵守宪法、法律。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（2）机构设置情况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2023年业务费补助项目的实施主体为吉木萨尔县人民法院，该单位纳入2023年部门决算编制范围的有11个科室，分别是：立案庭、刑事审判庭、民事审判庭、行政审判庭、执行局、审判管理办公室、政治部、 综合办公室、三台人民法庭、大有人民法庭、五彩湾人民法庭。</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编制人数为69人，其中：行政人员编制148人。实有在职人数64人，其中：行政在职64人。离退休人员26人。其中：行政退休人员26人。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5.资金投入和使用情况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（1）项目资金安排落实、总投入等情况分析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本项目预算安排总额为80.00万元，资金来源为本级部门预算，其中：财政资金80.00元，其他资金0.00万元，2023年实际收到预算资金80.00万元，预算资金到位率为100.00%。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（2）项目资金实际使用情况分析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截至2023年12月31日，本项目实际支付资金79.91万元，预算执行率99.89%。本项目资金主要用于支付工作经费69.91万元、法庭及审判大楼维修10.00万元。</w:t>
      </w:r>
    </w:p>
    <w:p w14:paraId="0D45DB21">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（二）项目绩效目标</w:t>
      </w:r>
    </w:p>
    <w:p w14:paraId="77670131">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1.总体目标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该项目计划保障办公人员35人，保障17辆车辆正常运行，保障法庭及审判大楼维修面积500平方米，保障审判案件量8000件，验收合格率达到100.00%，案件结案率80.00%，维修大楼时限不超过3个月，法庭及审判大楼维修成本不超过10.00万元，工作经费不超过70.00万元，通过该项目实施，维护社会稳定与长治久安，使干警对保障情况满意度不低于90.00%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2.阶段性目标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（1）项目产出指标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①数量指标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“保障办公人员人数”指标，预期指标值为“大于等于35人”；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“保障车辆正常运行”指标，预期指标值为“大于等于17辆”；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“法庭及审判大楼维修面积”指标，预期指标值为“大于等于500平方米”；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“保障安保运行天数”指标，预期指标值为“大于等于365天”；</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“保障审判案件量”指标，预期指标值为“大于等于8000件”；</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②质量指标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“验收合格率”指标，预期指标值为“等于100.00%”；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“案件结案率”指标，预期指标值为“大于等于80.00%”；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③时效指标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“维修大楼时限”指标，预期指标值为“小于等于3月”；</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“法庭及审判大楼维修成本”指标，预期指标值为“小于等于10.00万元”；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“工作经费”指标，预期指标值为“小于等于70.00万元”；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③生态环境成本指标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“维护社会稳定与长治久安”指标，预期指标值为“长久”；</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“干警对保障情况满意度”指标，预期指标值为“大于等于90.00%”。</w:t>
      </w:r>
    </w:p>
    <w:p w14:paraId="503A3434">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二、绩效评价工作开展情况</w:t>
      </w:r>
    </w:p>
    <w:p w14:paraId="0BFA254D">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（一）绩效评价目的、对象和范围</w:t>
      </w:r>
    </w:p>
    <w:p w14:paraId="263E9175">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1.绩效评价的目的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为下年度部门项目支出预算安排、完善政策和改进管理提供可行性参考建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2.绩效评价对象</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此次我单位根据《财政支出绩效评价管理暂行办法》（财预〔2020〕10号）文件要求实施评价工作，本次评价对象为业务费补助项目，评价核心为项目资金、项目产出、项目效益。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3.绩效评价范围</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4.绩效评价依据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（1）《中华人民共和国预算法》；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（2）《中共中央国务院关于全面实施预算绩效管理的意见》（中发〔2018〕34号）；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（3）《项目支出绩效评价管理办法》（财预〔2020〕10号）；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（4）《自治区财政支出绩效评价管理暂行办法》（新财预〔2018〕189号）；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（5）《司法行政机关办案(业务)经费和业务装备经费开支范围》[85]司发计字第384号)；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（6）《最高人民法院关于进一步推进案件繁简分流优化司法资源配置的若干意见 》（法发〔2016〕21号）。</w:t>
      </w:r>
    </w:p>
    <w:p w14:paraId="62A8CD39">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（二）绩效评价原则、评价指标体系、评价方法、评价标准</w:t>
      </w:r>
    </w:p>
    <w:p w14:paraId="512EBDEE">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1.绩效评价原则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依据《中华人民共和国预算法》《中共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（4）公开透明。绩效评价结果应依法依规公开，并自觉接受社会监督。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2.绩效评价指标体系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3.评价方法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color w:val="auto"/>
          <w:spacing w:val="-4"/>
          <w:sz w:val="32"/>
          <w:szCs w:val="32"/>
          <w:lang w:eastAsia="zh-CN"/>
        </w:rPr>
        <w:t>以及</w:t>
      </w:r>
      <w:r>
        <w:rPr>
          <w:rStyle w:val="18"/>
          <w:rFonts w:hint="eastAsia" w:ascii="楷体" w:hAnsi="楷体" w:eastAsia="楷体"/>
          <w:b w:val="0"/>
          <w:bCs w:val="0"/>
          <w:color w:val="auto"/>
          <w:spacing w:val="-4"/>
          <w:sz w:val="32"/>
          <w:szCs w:val="32"/>
        </w:rPr>
        <w:t>公众评判法。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4.评价标准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66954A09">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（三）绩效评价工作过程</w:t>
      </w:r>
    </w:p>
    <w:p w14:paraId="68C338CC">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1.前期准备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于2024年3月9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马宁（评价小组组长）：主要负责项目策划和监督，全面负责项目绩效评价办稿的最终质量，对评估人员出具的最终报告质量进行复核，确保评估结果的客观性；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解朝霞（评价小组组员）：主要负责资料的收集，取证、数据统计分析；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李召军（评价小组组员）：主要负责主要负责项目报告的制定，指标的研判，数据分析及报告撰写。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2024年3月10日-3月15日，评价工作进入实施阶段。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质量管理、项目建设等相关资料，完成绩效评价内容所需的印证资料整理，所有数据经核查后统计汇总。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xml:space="preserve">经调研了解，该项目主要受益群体包括社会公众。我们根据绩效评价目标和绩效指标体系，设计满意度调查问卷进行问卷调查，其中社会公众受益对象共选取样本20人，共发放问卷20份，最终收回20份。 </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3.分析评价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2024年3月16日-3月25日，评价小组按照绩效评价的原则和规范，对取得的资料进行审查核实，对采集的数据进行分析，按照绩效评价指标评分表逐项进行打分、分析、汇总各方评价结果。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4.撰写与提交评价报告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2024年3月26日-4月3日，评价小组撰写绩效评价报告，按照新疆维吾尔自治区财政绩效管理信息系统绩效评价模块中统一格式和文本框架撰写绩效评价报告并提交审核。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5.问题整改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6.档案整理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建立和落实档案管理制度，将项目相关资料存档，包括但不限于：评价项目基本情况和相关文件、评价实施方案、项目支付资料等相关档案。</w:t>
      </w:r>
    </w:p>
    <w:p w14:paraId="087F139D">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三、综合评价情况及评价结论</w:t>
      </w:r>
    </w:p>
    <w:p w14:paraId="2150A273">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（一）综合评价情况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评价，本项目达成年初设立的绩效目标，在实施过程中取得了良好的成效，具体表现在：通过项目的实施，完成了受理案件数量、保障干部人数、业务经费支付及时率产出目标，发挥了维护社会稳定与长治久安效益。但在实施过程中也存在一些不足：预算支出责任意识不够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（二）评价结论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绩效评价通过绩效评价小组论证的评价指标体系及评分标准，采用因素分析法和比较法对本项目绩效进行客观评价，本项目共设置三级指标数量23个，实现三级指标数量22个，总体完成率为95.65%。最终评分结果：总分为99.99分，绩效评级为“优”。综合评价结论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项目决策类指标共设置6个，满分指标6个，得分率100.00%；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过程管理类指标共设置5个，满分指标4个，得分率99.95%；</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项目产出类指标共设置10个，满分指标10个，得分率100.00%；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项目效益类指标共设置2个，满分指标2个，得分率100.00%。</w:t>
      </w:r>
    </w:p>
    <w:p w14:paraId="34B5B42E">
      <w:pPr>
        <w:spacing w:line="540" w:lineRule="exact"/>
        <w:ind w:firstLine="640"/>
        <w:rPr>
          <w:rStyle w:val="18"/>
          <w:rFonts w:ascii="黑体" w:hAnsi="黑体" w:eastAsia="黑体"/>
          <w:color w:val="auto"/>
        </w:rPr>
      </w:pPr>
      <w:r>
        <w:rPr>
          <w:rStyle w:val="18"/>
          <w:rFonts w:hint="eastAsia" w:ascii="黑体" w:hAnsi="黑体" w:eastAsia="黑体"/>
          <w:b w:val="0"/>
          <w:color w:val="auto"/>
          <w:spacing w:val="-4"/>
          <w:sz w:val="32"/>
          <w:szCs w:val="32"/>
        </w:rPr>
        <w:t>四、绩效评价指标分析</w:t>
      </w:r>
      <w:r>
        <w:rPr>
          <w:rStyle w:val="18"/>
          <w:rFonts w:hint="eastAsia" w:ascii="黑体" w:hAnsi="黑体" w:eastAsia="黑体"/>
          <w:color w:val="auto"/>
        </w:rPr>
        <w:t xml:space="preserve"> </w:t>
      </w:r>
    </w:p>
    <w:p w14:paraId="696D6F1E">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（一）</w:t>
      </w:r>
      <w:r>
        <w:rPr>
          <w:rStyle w:val="18"/>
          <w:rFonts w:hint="eastAsia" w:ascii="楷体" w:hAnsi="楷体" w:eastAsia="楷体"/>
          <w:color w:val="auto"/>
          <w:spacing w:val="-4"/>
          <w:sz w:val="32"/>
          <w:szCs w:val="32"/>
        </w:rPr>
        <w:t>项目决策情况</w:t>
      </w:r>
    </w:p>
    <w:p w14:paraId="6132C4F6">
      <w:pPr>
        <w:tabs>
          <w:tab w:val="center" w:pos="4295"/>
        </w:tabs>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项目决策类指标由3个二级指标和6个三级指标构成，权重分21.00分，实际得分21.00分。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1.项目立项情况分析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（1）立项依据充分性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立项符合最高人民法院颁发的《司法行政机关办案(业务)经费和业务装备经费开支范围》[85]司发计字第384号)中：“一、调解费：调解委员会的办公文具、纸张补助费，调解人员学习专业资料费、误工补贴、表彰会经费，无固定工资收入、工作成绩优异的调解人员生活补助费。六、业务设备消耗费：司法行政业务用的器材设备的保养费、修理费、燃料费、饲料费、武器修理费。九、其他：上述一至八项未能包括的其他司法行政业务费用；本项目立项符合《最高人民法院关于进一步推进案件繁简分流优化司法资源配置的若干意见 》（法发〔2016〕21号）中：“提升人案配比科学性。在精确测算人员、案件数量和工作量的基础上，动态调整不同法院、不同审判部门的审判力量。根据法院审级、案件繁简等相关因素，合理确定法官、法官助理、书记员的配置比例，科学界定各自职能定位及其相互关系，最大程度地发挥审判团队优势”内容，符合行业发展规划和政策要求；本项目立项符合《吉木萨尔县人民法院配置内设机构和人员编制规定》中职责范围中的“依法审判法律规定由基层人民法院管辖，自治州中级人民法院指定管辖或者认为应当由自己审判的刑事、民事、行政等第一审案件。审理上级法院指令再审的各类案件；受理不服本院一审生效裁判的各类申诉和再诉申请，对其中确有错误的，依法提起再审。依法审判由市人民检察院按照审判监督程序提出的抗诉案件。处理不需要开庭审判的民事纠纷和轻微的刑事案件。依法行使司法执行权和司法决定权。依法办理外地法院委托办理的司法协助事项。对法院的法官和其他工作人员进行思想政治教育，组织业务专业培训和监督管理工作。管理人民法院的有关经费和物质装备”的职责范围，属于我单位履职所需；根据《财政资金直接支付申请书》，本项目资金性质为“公共财政预算”功能分类为“一般行政管理事务”经济分类为“商品和服务支出”属于公共财政支持范围，符合中央、地方事权支出责任划分原则；经检查我单位财政应用平台指标，本项目不存在重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综上所述，本指标满分为5.00分，根据评分标准得5.00分，本项目立项依据充分。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（2）立项程序规范性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本项目为非基础建设类项目，属于专项资金安排项目，不涉及事前绩效评估、可行性研究以及风险评估，由我单位严格按照昌州党财〔2023〕01号文件文件要求实施项目。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综上所述，本指标满分为3.00分，根据评分标准得3.00分，本项目立项程序规范。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2.绩效目标情况分析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（1）绩效目标合理性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本项目已设置年度绩效目标，具体内容为：通过此项目实施保障法院各项工作正常运行，保障办公人员大于等于35名； 保障车辆正常运行大于等于17辆；保障法庭及审判大楼维修面积大于等于500平方米； 保障安保运行天数大于等于365天；保障审判案件量大于等于8000件，案件质效大幅提高，为地方经济发展提供有力保障；本项目实际工作内容为：保障办公人员人数35人，保障17辆车辆正常运行，维修500平方米法庭及审判大楼，保障审判案件量11929件，验收合格率达到100.00%，案件结案率达到93.12%，维修大楼时限3个月，支出法庭及审判大楼维修成本10.00万元，支出工作经费69.91万元，通过该项目实施，使干警对保障情况满意度达到100.00%，最后达到维护社会稳定与长治久安的效果。绩效目标与实际工作内容一致，两者具有相关性;本项目按照绩效目标完成了数量指标、质量指标、时效指标、成本指标，有效维护社会稳定与长治久安，年度绩效目标完成，预期产出效益和效果符合正常的业绩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综上所述，本指标满分为4.00分，根据评分标准得4.00分，本项目绩效目标设置合理。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（2）绩效指标明确性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检查我单位年初设置的《项目支出绩效目标表》，得出如下结论：本项目已将年度绩效目标进行细化为绩效指标体系，共设置一级指标4个，二级指标6个，三级指标12个，定量指标11个，定性指标1个，指标量化率为91.67%，量化率达70.00%以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综上所述，本指标满分为3.00分，根据评分标准得3.00分，本项目所设置绩效指标明确。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3.资金投入情况分析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（1）预算编制科学性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本项目预算编制通过预估35名干部4个月工资、差旅费、办公费、法庭及审判大楼维修费、公务车辆运行维护费，即预算编制较科学且经过论证；</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预算申请内容为业务费补助，项目实际内容为人员工资和办案经费，预算申请与《业务费补助项目实施方案》中涉及的项目内容匹配；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申请资金80.00万元，我单位在预算申请中严格按照单位标准和数量进行核算，其中：法庭及审判大楼维修成本为10.00万元，工作经费成本为70.00万元。本项目预算额度测算依据充分，严格按照标准编制，预算确定资金量与实际工作任务相匹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综上所述，本指标满分为4.00分，根据评分标准4.00分，本项目预算编制科学。</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（2）资金分配合理性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分配资金以《关于申请业务费补助项目资金的请示》和《业务费补助项目实施方案》为依据进行资金分配，预算资金分配依据充分。年初预算批复文件显示，本项目实际到位资金80.00万元，实际分配资金与我单位提交申请的资金额度一致，资金分配额度合理，与我单位实际需求相适应。</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综上所述，本指标满分为2.00分，根据评分标准得2.00分，本项目资金分配合理。</w:t>
      </w:r>
      <w:r>
        <w:rPr>
          <w:rStyle w:val="18"/>
          <w:rFonts w:hint="eastAsia" w:ascii="楷体" w:hAnsi="楷体" w:eastAsia="楷体"/>
          <w:b w:val="0"/>
          <w:bCs w:val="0"/>
          <w:color w:val="auto"/>
          <w:spacing w:val="-4"/>
          <w:sz w:val="32"/>
          <w:szCs w:val="32"/>
        </w:rPr>
        <w:tab/>
      </w:r>
    </w:p>
    <w:p w14:paraId="2819AE63">
      <w:pPr>
        <w:spacing w:line="540" w:lineRule="exact"/>
        <w:ind w:firstLine="567" w:firstLineChars="181"/>
        <w:rPr>
          <w:rStyle w:val="18"/>
          <w:rFonts w:ascii="楷体" w:hAnsi="楷体" w:eastAsia="楷体"/>
          <w:color w:val="auto"/>
          <w:spacing w:val="-4"/>
          <w:sz w:val="32"/>
          <w:szCs w:val="32"/>
        </w:rPr>
      </w:pPr>
      <w:r>
        <w:rPr>
          <w:rFonts w:hint="eastAsia" w:ascii="楷体" w:hAnsi="楷体" w:eastAsia="楷体"/>
          <w:b/>
          <w:color w:val="auto"/>
          <w:spacing w:val="-4"/>
          <w:sz w:val="32"/>
          <w:szCs w:val="32"/>
        </w:rPr>
        <w:t>（二）</w:t>
      </w:r>
      <w:r>
        <w:rPr>
          <w:rStyle w:val="18"/>
          <w:rFonts w:hint="eastAsia" w:ascii="楷体" w:hAnsi="楷体" w:eastAsia="楷体"/>
          <w:color w:val="auto"/>
          <w:spacing w:val="-4"/>
          <w:sz w:val="32"/>
          <w:szCs w:val="32"/>
        </w:rPr>
        <w:t>项目过程情况</w:t>
      </w:r>
    </w:p>
    <w:p w14:paraId="55934431">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项目过程管理类指标由6个二级指标和8个三级指标构成，权重分19.00分，实际得分18.99分。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1.资金管理情况分析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（1）资金到位率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资金为80.00万元，其中：本级财政安排资金80.00万元，其他资金0.00万元，实际到位资金80.00万元，资金到位率=（实际到位资金/预算资金）×100.00%=（80.00/80.00）*100.00%=100.00%。得分=资金到位率*分值=100.00%*4.00=4.00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综上所述，本指标满分为4.00分，根据评分标准得4.00分，本项目资金分配合理。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（2）预算执行率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本项目实际支出资金79.91万元，预算执行率=（实际支出资金/实际到位资金）×100.00%=（79.91/80.00）*100.00%=99.89%。得分=预算执行率*分值=99.89%*5.00=4.99分。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综上所述，本指标满分为5.00分，根据评分标准得4.99分，本项目资金分配合理。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（3）资金使用合规性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通过检查本项目签订的合同、资金申请文件、发票等财务付款凭证，得出本项目资金支出符合国家财经法规、《政府会计制度》以及《吉木萨尔县人民法院资金管理办法》《吉木萨尔县人民法院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综上所述，本指标满分为4.00分，根据评分标准得4.00分，资金支出符合我单位财务管理制度规定。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（1）管理制度健全性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已制定《吉木萨尔县人民法院资金管理办法》《吉木萨尔县人民法院收支业务管理制度》《吉木萨尔县人民法院政府采购业务管理制度》《吉木萨尔县人民法院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综上所述，本指标满分为2.00分，根据评分标准得2.00分，项目制度建设健全。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（2）制度执行有效性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对比分析本项目实际执行过程资料和已建立的项目管理制度和财务管理制度，得出本项目严格按照本单位已建立制度执行。项目资金支出严格按照自治区、地区以及本单位资金管理办法执行，项目启动实施后，为了加快本项目的实施，成立了业务费补助项目工作领导小组，由办公室主任李召军任组长，负责项目的组织工作；高莲任副组长，负责项目的实施工作；组员包括：李尧，主要负责项目监督管理、验收以及资金核拨等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综上所述，本指标满分为4.00分，根据评分标准得4.00分，本项目所建立制度执行有效。</w:t>
      </w:r>
    </w:p>
    <w:p w14:paraId="5D83F825">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（三）</w:t>
      </w:r>
      <w:r>
        <w:rPr>
          <w:rStyle w:val="18"/>
          <w:rFonts w:hint="eastAsia" w:ascii="楷体" w:hAnsi="楷体" w:eastAsia="楷体"/>
          <w:color w:val="auto"/>
          <w:spacing w:val="-4"/>
          <w:sz w:val="32"/>
          <w:szCs w:val="32"/>
        </w:rPr>
        <w:t>项目产出情况</w:t>
      </w:r>
    </w:p>
    <w:p w14:paraId="3D26CF9F">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项目产出类指标4个二级指标和10个三级指标构成，权重分30.00分，实际得分30.00分。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1.数量指标完成情况分析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“保障办公人员人数”指标：预期指标值为“ 大于等于35人”，实际完成指标值为“35人”，指标完成率为100.00%。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“保障车辆正常运行”指标：预期指标值为“大于等于17辆”，实际完成指标值为“17辆”，指标完成率为100.00%。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“法庭及审判大楼维修面积”指标：预期指标值为“大于等于500平方米”，实际完成指标值为“500平方米”，指标完成率为100.00%。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“保障安保运行天数”指标：预期指标值为“大于等于365天”，实际完成指标值为“等于365天”，指标完成率为100.00%。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“保障审判案件量”指标：预期指标值为“大于等于8000件”，实际完成指标值为“等于11929件”，指标完成率为100.00%。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综上所述，数量指标满分为10.00分，根据评分标准得10.00分。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2.质量指标完成情况分析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“验收合格率”指标：预期指标值为“等于100.00%”，实际完成指标值为“100.00%”，指标完成率为100.00%。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“案件结案率”指标：预期指标值为“ 大于等于80.00%”，实际完成指标值为“93.12%”，指标完成率为100.00%。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综上所述，质量指标满分为5.00分，根据评分标准得5.00分。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3.时效指标完成情况分析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“维修大楼时限”指标：预期指标值为“小于等于3月”，实际完成指标值为“3月”，指标完成率为100.00%。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综上所述，时效指标满分为5.00分，根据评分标准得5.00分。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4.成本指标完成情况分析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“法庭及审判大楼维修成本”指标：预期指标值为“小于等于10.00万元”，实际完成指标值为“10.00万元”，指标完成率为100.00%。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“工作经费”指标：预期指标值为“小于等于70.00万元”，实际完成指标值为“69.91万元”，指标完成率为100.00%。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综上所述，成本指标满分为10.00分，根据评分标准得10.00分。</w:t>
      </w:r>
    </w:p>
    <w:p w14:paraId="0831AD9E">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（四）</w:t>
      </w:r>
      <w:r>
        <w:rPr>
          <w:rStyle w:val="18"/>
          <w:rFonts w:hint="eastAsia" w:ascii="楷体" w:hAnsi="楷体" w:eastAsia="楷体"/>
          <w:color w:val="auto"/>
          <w:spacing w:val="-4"/>
          <w:sz w:val="32"/>
          <w:szCs w:val="32"/>
        </w:rPr>
        <w:t>项目效益情况</w:t>
      </w:r>
    </w:p>
    <w:p w14:paraId="5739F764">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项目效益类指标由2个二级指标和2个三级指标构成，权重分30.00分，实际得分30.00分。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1.经济效益完成情况分析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2.社会效益完成情况分析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“维护社会稳定与长治久安”指标：预期指标值为“长久”，实际完成指标值为“持续”，指标完成率为100.00%。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综上所述，本指标满分为15.00分，根据评分标准得15.00分。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3.生态效益完成情况分析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4.满意度完成情况分析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“干警对保障情况满意度”指标：预期指标值为“大于等于90.00%”，实际完成指标值为“等于100.00%”，指标完成率为100.00%。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综上所述，本指标满分为15.00分，根据评分标准得15.00分。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五、预算执行进度与绩效指标偏差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本项目年初预算资金总额为80.00万元，全年预算数为80.00万元，全年执行数为79.91万元，预算执行率为99.89%。</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本项目共设置三级指标数量23个，满分指标数量22个，扣分指标数量1个，经分析计算所有三级指标完成率得出，本项目总体完成率为95.65%。</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综上所述本项目预算执行进度与总体完成进度之间的偏差为4.24%。主要偏差原因是：2023年按照单位实际需求支出业务费补助。节约财政资金0.09万元。</w:t>
      </w:r>
    </w:p>
    <w:p w14:paraId="37C9ED71">
      <w:pPr>
        <w:spacing w:line="540" w:lineRule="exact"/>
        <w:ind w:firstLine="567"/>
        <w:rPr>
          <w:rStyle w:val="18"/>
          <w:rFonts w:ascii="楷体" w:hAnsi="楷体" w:eastAsia="楷体"/>
          <w:color w:val="auto"/>
          <w:spacing w:val="-4"/>
          <w:sz w:val="32"/>
          <w:szCs w:val="32"/>
        </w:rPr>
      </w:pPr>
    </w:p>
    <w:p w14:paraId="63A5107D">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预算执行进度与绩效指标偏差</w:t>
      </w:r>
    </w:p>
    <w:p w14:paraId="56D23991">
      <w:pPr>
        <w:spacing w:line="540" w:lineRule="exact"/>
        <w:ind w:firstLine="567"/>
        <w:rPr>
          <w:rStyle w:val="18"/>
          <w:rFonts w:hint="default" w:ascii="黑体" w:hAnsi="黑体" w:eastAsia="黑体"/>
          <w:b w:val="0"/>
          <w:color w:val="auto"/>
          <w:spacing w:val="-4"/>
          <w:sz w:val="32"/>
          <w:szCs w:val="32"/>
          <w:lang w:val="en-US" w:eastAsia="zh-CN"/>
        </w:rPr>
      </w:pPr>
      <w:r>
        <w:rPr>
          <w:rStyle w:val="18"/>
          <w:rFonts w:hint="eastAsia" w:ascii="楷体" w:hAnsi="楷体" w:eastAsia="楷体"/>
          <w:b w:val="0"/>
          <w:bCs w:val="0"/>
          <w:color w:val="auto"/>
          <w:spacing w:val="-4"/>
          <w:sz w:val="32"/>
          <w:szCs w:val="32"/>
        </w:rPr>
        <w:t>2023年按照单位实际需求支出业务费补助，节约财政资金0.09万元。</w:t>
      </w:r>
    </w:p>
    <w:p w14:paraId="6FAF65AA">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rPr>
        <w:t>主要经验及做法、存在的问题及原因分析</w:t>
      </w:r>
    </w:p>
    <w:p w14:paraId="35F2C2E4">
      <w:pPr>
        <w:spacing w:line="540" w:lineRule="exact"/>
        <w:ind w:firstLine="567"/>
        <w:rPr>
          <w:rFonts w:ascii="仿宋_GB2312" w:eastAsia="仿宋_GB2312"/>
          <w:color w:val="auto"/>
          <w:spacing w:val="-4"/>
          <w:sz w:val="32"/>
          <w:szCs w:val="32"/>
        </w:rPr>
      </w:pPr>
      <w:r>
        <w:rPr>
          <w:rStyle w:val="18"/>
          <w:rFonts w:hint="eastAsia" w:ascii="楷体" w:hAnsi="楷体" w:eastAsia="楷体"/>
          <w:b w:val="0"/>
          <w:bCs w:val="0"/>
          <w:color w:val="auto"/>
          <w:spacing w:val="-4"/>
          <w:sz w:val="32"/>
          <w:szCs w:val="32"/>
        </w:rPr>
        <w:t>（一）主要经验及做法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办公室建立健全了预算管理规章制度，各部门严格按预算编制和要求做好当年预算编制工作，在预算绩效管理工作中，做到合理安排各项资金，重点保障基本支出，按轻重缓急顺序原则，优先安排了阜康市人民政府办公室事业发展中关系民生与稳定的项目，切实优化资源配置，提高了资金使用的效率和效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所设定的绩效目标依据充分，绩效目标设定的绩效指标明确，预算编制具有合理性，制度建设完全，相关制度执行有效，资金到位不及时，但未影响项目进度。项目资金严格按照预算管理规定开支，项目能够按时开展，并及时完成，总体完成质量较好，达成了既定的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重视前期工作，做好实施方案。建设单位通过关口前置，把项目单位之所需、项目单位之所想、项目单位之所困作为设计工作的基础，在做设计的过程中让这些因素得到充分考量和体现，细化实化工程任务，协调推进工程建设。建设单位积极配合设计单位呈现实情，设计单位应深入现场，全面把握第一手资料，使实施方案科学合理、切合实际。在进行可行性研究时，强调可行性和可操作性，以实事求是的态度对待可行性研究工作，注重建设地点是否可以落实、项目建设外部条件是否具备、建设内容规模是否科学合理、切合实际等，避免立项后存在先天不足，影响项目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（二）存在的问题及原因分析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一是我单位绩效项目相关工作人员因未参与过正式的业务培训，绩效知识较为薄弱。二是项目资金支付未完成，项目资金预期金额和实际支付金额存在偏差。</w:t>
      </w:r>
    </w:p>
    <w:p w14:paraId="7B465D6B">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七</w:t>
      </w:r>
      <w:r>
        <w:rPr>
          <w:rStyle w:val="18"/>
          <w:rFonts w:hint="eastAsia" w:ascii="黑体" w:hAnsi="黑体" w:eastAsia="黑体"/>
          <w:b w:val="0"/>
          <w:color w:val="auto"/>
          <w:spacing w:val="-4"/>
          <w:sz w:val="32"/>
          <w:szCs w:val="32"/>
        </w:rPr>
        <w:t>、有关建议</w:t>
      </w:r>
    </w:p>
    <w:p w14:paraId="0E77BB36">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b w:val="0"/>
          <w:bCs w:val="0"/>
          <w:color w:val="auto"/>
          <w:spacing w:val="-4"/>
          <w:sz w:val="32"/>
          <w:szCs w:val="32"/>
        </w:rPr>
        <w:t>一是加大对参与绩效管理工作的人员培训力度，进一步统一认识，充实业务知识。以提高工作人员素质，以达到预算绩效管理标准化、常态化的要求，最终实现提高绩效管理工作效率及质量的目标。二是提高本单位工作人员的绩效管理能力和工作水平，加快资金支付力度。</w:t>
      </w:r>
    </w:p>
    <w:p w14:paraId="7D3ADDBB">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八</w:t>
      </w:r>
      <w:r>
        <w:rPr>
          <w:rStyle w:val="18"/>
          <w:rFonts w:hint="eastAsia" w:ascii="黑体" w:hAnsi="黑体" w:eastAsia="黑体"/>
          <w:b w:val="0"/>
          <w:color w:val="auto"/>
          <w:spacing w:val="-4"/>
          <w:sz w:val="32"/>
          <w:szCs w:val="32"/>
        </w:rPr>
        <w:t>、其他需要说明的问题</w:t>
      </w:r>
    </w:p>
    <w:p w14:paraId="2A457931">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我单位对上述项目支出绩效评价报告内反映内容的真实性、完整性负责，接受上级部门及社会公众监督。</w:t>
      </w:r>
    </w:p>
    <w:p w14:paraId="0722E544">
      <w:pPr>
        <w:spacing w:line="540" w:lineRule="exact"/>
        <w:ind w:firstLine="567"/>
        <w:rPr>
          <w:rStyle w:val="18"/>
          <w:rFonts w:ascii="仿宋" w:hAnsi="仿宋" w:eastAsia="仿宋"/>
          <w:b w:val="0"/>
          <w:color w:val="auto"/>
          <w:spacing w:val="-4"/>
          <w:sz w:val="32"/>
          <w:szCs w:val="32"/>
        </w:rPr>
      </w:pPr>
    </w:p>
    <w:p w14:paraId="52B66479">
      <w:pPr>
        <w:spacing w:line="540" w:lineRule="exact"/>
        <w:ind w:firstLine="567"/>
        <w:rPr>
          <w:rStyle w:val="18"/>
          <w:rFonts w:ascii="仿宋" w:hAnsi="仿宋" w:eastAsia="仿宋"/>
          <w:b w:val="0"/>
          <w:color w:val="auto"/>
          <w:spacing w:val="-4"/>
          <w:sz w:val="32"/>
          <w:szCs w:val="32"/>
        </w:rPr>
      </w:pPr>
    </w:p>
    <w:p w14:paraId="2EB6B3E1">
      <w:pPr>
        <w:spacing w:line="540" w:lineRule="exact"/>
        <w:ind w:firstLine="567"/>
        <w:rPr>
          <w:rStyle w:val="18"/>
          <w:rFonts w:ascii="仿宋" w:hAnsi="仿宋" w:eastAsia="仿宋"/>
          <w:b w:val="0"/>
          <w:color w:val="auto"/>
          <w:spacing w:val="-4"/>
          <w:sz w:val="32"/>
          <w:szCs w:val="32"/>
        </w:rPr>
      </w:pPr>
    </w:p>
    <w:p w14:paraId="6E9E32D9">
      <w:pPr>
        <w:spacing w:line="540" w:lineRule="exact"/>
        <w:ind w:firstLine="567"/>
        <w:rPr>
          <w:rStyle w:val="18"/>
          <w:rFonts w:ascii="仿宋" w:hAnsi="仿宋" w:eastAsia="仿宋"/>
          <w:b w:val="0"/>
          <w:color w:val="auto"/>
          <w:spacing w:val="-4"/>
          <w:sz w:val="32"/>
          <w:szCs w:val="32"/>
        </w:rPr>
      </w:pPr>
    </w:p>
    <w:p w14:paraId="3C1EE6F9">
      <w:pPr>
        <w:spacing w:line="540" w:lineRule="exact"/>
        <w:ind w:firstLine="567"/>
        <w:rPr>
          <w:rStyle w:val="18"/>
          <w:rFonts w:ascii="仿宋" w:hAnsi="仿宋" w:eastAsia="仿宋"/>
          <w:b w:val="0"/>
          <w:color w:val="auto"/>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19C9141-645B-4014-B75F-05E758F4E1A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FCC1AA4-E427-46A6-83D0-B8541AC4896A}"/>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BBE05D3F-2126-4968-9BC5-B3B1D52E6618}"/>
  </w:font>
  <w:font w:name="华文中宋">
    <w:panose1 w:val="02010600040101010101"/>
    <w:charset w:val="86"/>
    <w:family w:val="auto"/>
    <w:pitch w:val="default"/>
    <w:sig w:usb0="00000287" w:usb1="080F0000" w:usb2="00000000" w:usb3="00000000" w:csb0="0004009F" w:csb1="DFD70000"/>
    <w:embedRegular r:id="rId4" w:fontKey="{2DCE852D-DAC7-4461-AEDA-3C71E3AEC50F}"/>
  </w:font>
  <w:font w:name="方正小标宋_GBK">
    <w:panose1 w:val="02000000000000000000"/>
    <w:charset w:val="86"/>
    <w:family w:val="script"/>
    <w:pitch w:val="default"/>
    <w:sig w:usb0="A00002BF" w:usb1="38CF7CFA" w:usb2="00082016" w:usb3="00000000" w:csb0="00040001" w:csb1="00000000"/>
    <w:embedRegular r:id="rId5" w:fontKey="{63205CC6-3616-4347-ABA5-151145175307}"/>
  </w:font>
  <w:font w:name="仿宋_GB2312">
    <w:panose1 w:val="02010609030101010101"/>
    <w:charset w:val="86"/>
    <w:family w:val="modern"/>
    <w:pitch w:val="default"/>
    <w:sig w:usb0="00000001" w:usb1="080E0000" w:usb2="00000000" w:usb3="00000000" w:csb0="00040000" w:csb1="00000000"/>
    <w:embedRegular r:id="rId6" w:fontKey="{216CC051-5777-4D8A-96BD-A831053B558B}"/>
  </w:font>
  <w:font w:name="楷体">
    <w:panose1 w:val="02010609060101010101"/>
    <w:charset w:val="86"/>
    <w:family w:val="modern"/>
    <w:pitch w:val="default"/>
    <w:sig w:usb0="800002BF" w:usb1="38CF7CFA" w:usb2="00000016" w:usb3="00000000" w:csb0="00040001" w:csb1="00000000"/>
    <w:embedRegular r:id="rId7" w:fontKey="{3FF1DACE-190E-4DA4-96A9-FAF9872407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06E165A1">
        <w:pPr>
          <w:pStyle w:val="12"/>
          <w:jc w:val="center"/>
        </w:pPr>
        <w:r>
          <w:fldChar w:fldCharType="begin"/>
        </w:r>
        <w:r>
          <w:instrText xml:space="preserve">PAGE   \* MERGEFORMAT</w:instrText>
        </w:r>
        <w:r>
          <w:fldChar w:fldCharType="separate"/>
        </w:r>
        <w:r>
          <w:rPr>
            <w:lang w:val="zh-CN"/>
          </w:rPr>
          <w:t>2</w:t>
        </w:r>
        <w:r>
          <w:fldChar w:fldCharType="end"/>
        </w:r>
      </w:p>
    </w:sdtContent>
  </w:sdt>
  <w:p w14:paraId="2764647A">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1F3D3457"/>
    <w:rsid w:val="3029612C"/>
    <w:rsid w:val="32A221C5"/>
    <w:rsid w:val="33F20F2A"/>
    <w:rsid w:val="34C44675"/>
    <w:rsid w:val="3B5B5607"/>
    <w:rsid w:val="3CE21B3C"/>
    <w:rsid w:val="43B00D03"/>
    <w:rsid w:val="4D2606A1"/>
    <w:rsid w:val="51830480"/>
    <w:rsid w:val="53A616BE"/>
    <w:rsid w:val="54662BFB"/>
    <w:rsid w:val="57025EA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qFormat/>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95</Words>
  <Characters>103</Characters>
  <Lines>4</Lines>
  <Paragraphs>1</Paragraphs>
  <TotalTime>2</TotalTime>
  <ScaleCrop>false</ScaleCrop>
  <LinksUpToDate>false</LinksUpToDate>
  <CharactersWithSpaces>115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2026-09-24T03:48:28Z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