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4CD01">
      <w:pPr>
        <w:spacing w:line="540" w:lineRule="exact"/>
        <w:jc w:val="left"/>
        <w:rPr>
          <w:rFonts w:ascii="仿宋" w:hAnsi="仿宋" w:eastAsia="仿宋" w:cs="宋体"/>
          <w:kern w:val="0"/>
          <w:sz w:val="32"/>
          <w:szCs w:val="32"/>
        </w:rPr>
      </w:pPr>
      <w:bookmarkStart w:id="0" w:name="_GoBack"/>
      <w:bookmarkEnd w:id="0"/>
      <w:r>
        <w:rPr>
          <w:rFonts w:hint="eastAsia" w:ascii="仿宋" w:hAnsi="仿宋" w:eastAsia="仿宋" w:cs="宋体"/>
          <w:kern w:val="0"/>
          <w:sz w:val="32"/>
          <w:szCs w:val="32"/>
        </w:rPr>
        <w:t>附件2：</w:t>
      </w:r>
    </w:p>
    <w:p w14:paraId="1369B494">
      <w:pPr>
        <w:spacing w:line="540" w:lineRule="exact"/>
        <w:jc w:val="center"/>
        <w:rPr>
          <w:rFonts w:ascii="华文中宋" w:hAnsi="华文中宋" w:eastAsia="华文中宋" w:cs="宋体"/>
          <w:b/>
          <w:kern w:val="0"/>
          <w:sz w:val="52"/>
          <w:szCs w:val="52"/>
        </w:rPr>
      </w:pPr>
    </w:p>
    <w:p w14:paraId="0CB93AE7">
      <w:pPr>
        <w:spacing w:line="540" w:lineRule="exact"/>
        <w:jc w:val="center"/>
        <w:rPr>
          <w:rFonts w:ascii="华文中宋" w:hAnsi="华文中宋" w:eastAsia="华文中宋" w:cs="宋体"/>
          <w:b/>
          <w:kern w:val="0"/>
          <w:sz w:val="52"/>
          <w:szCs w:val="52"/>
        </w:rPr>
      </w:pPr>
    </w:p>
    <w:p w14:paraId="262CB72B">
      <w:pPr>
        <w:spacing w:line="540" w:lineRule="exact"/>
        <w:jc w:val="center"/>
        <w:rPr>
          <w:rFonts w:ascii="华文中宋" w:hAnsi="华文中宋" w:eastAsia="华文中宋" w:cs="宋体"/>
          <w:b/>
          <w:kern w:val="0"/>
          <w:sz w:val="52"/>
          <w:szCs w:val="52"/>
        </w:rPr>
      </w:pPr>
    </w:p>
    <w:p w14:paraId="1645FFBD">
      <w:pPr>
        <w:spacing w:line="540" w:lineRule="exact"/>
        <w:jc w:val="center"/>
        <w:rPr>
          <w:rFonts w:ascii="华文中宋" w:hAnsi="华文中宋" w:eastAsia="华文中宋" w:cs="宋体"/>
          <w:b/>
          <w:kern w:val="0"/>
          <w:sz w:val="52"/>
          <w:szCs w:val="52"/>
        </w:rPr>
      </w:pPr>
    </w:p>
    <w:p w14:paraId="51E18A39">
      <w:pPr>
        <w:spacing w:line="540" w:lineRule="exact"/>
        <w:jc w:val="center"/>
        <w:rPr>
          <w:rFonts w:ascii="华文中宋" w:hAnsi="华文中宋" w:eastAsia="华文中宋" w:cs="宋体"/>
          <w:b/>
          <w:kern w:val="0"/>
          <w:sz w:val="52"/>
          <w:szCs w:val="52"/>
        </w:rPr>
      </w:pPr>
    </w:p>
    <w:p w14:paraId="2C3E2ECB">
      <w:pPr>
        <w:spacing w:line="540" w:lineRule="exact"/>
        <w:jc w:val="center"/>
        <w:rPr>
          <w:rFonts w:ascii="华文中宋" w:hAnsi="华文中宋" w:eastAsia="华文中宋" w:cs="宋体"/>
          <w:b/>
          <w:kern w:val="0"/>
          <w:sz w:val="52"/>
          <w:szCs w:val="52"/>
        </w:rPr>
      </w:pPr>
    </w:p>
    <w:p w14:paraId="5C0955CA">
      <w:pPr>
        <w:spacing w:line="540" w:lineRule="exact"/>
        <w:jc w:val="center"/>
        <w:rPr>
          <w:rFonts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项目支出绩效自评报告</w:t>
      </w:r>
    </w:p>
    <w:p w14:paraId="03366014">
      <w:pPr>
        <w:spacing w:line="540" w:lineRule="exact"/>
        <w:jc w:val="center"/>
        <w:rPr>
          <w:rFonts w:ascii="华文中宋" w:hAnsi="华文中宋" w:eastAsia="华文中宋" w:cs="宋体"/>
          <w:b/>
          <w:kern w:val="0"/>
          <w:sz w:val="52"/>
          <w:szCs w:val="52"/>
        </w:rPr>
      </w:pPr>
    </w:p>
    <w:p w14:paraId="1F2C7C63">
      <w:pPr>
        <w:spacing w:line="540" w:lineRule="exact"/>
        <w:jc w:val="center"/>
        <w:rPr>
          <w:rFonts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2023</w:t>
      </w:r>
      <w:r>
        <w:rPr>
          <w:rFonts w:hint="eastAsia" w:hAnsi="宋体" w:eastAsia="仿宋_GB2312" w:cs="宋体"/>
          <w:kern w:val="0"/>
          <w:sz w:val="36"/>
          <w:szCs w:val="36"/>
        </w:rPr>
        <w:t xml:space="preserve">  年度）</w:t>
      </w:r>
    </w:p>
    <w:p w14:paraId="54FF0B31">
      <w:pPr>
        <w:spacing w:line="540" w:lineRule="exact"/>
        <w:jc w:val="center"/>
        <w:rPr>
          <w:rFonts w:hAnsi="宋体" w:eastAsia="仿宋_GB2312" w:cs="宋体"/>
          <w:kern w:val="0"/>
          <w:sz w:val="30"/>
          <w:szCs w:val="30"/>
        </w:rPr>
      </w:pPr>
    </w:p>
    <w:p w14:paraId="7DEB6B06">
      <w:pPr>
        <w:spacing w:line="540" w:lineRule="exact"/>
        <w:jc w:val="center"/>
        <w:rPr>
          <w:rFonts w:hAnsi="宋体" w:eastAsia="仿宋_GB2312" w:cs="宋体"/>
          <w:kern w:val="0"/>
          <w:sz w:val="30"/>
          <w:szCs w:val="30"/>
        </w:rPr>
      </w:pPr>
    </w:p>
    <w:p w14:paraId="650040C3">
      <w:pPr>
        <w:spacing w:line="540" w:lineRule="exact"/>
        <w:jc w:val="center"/>
        <w:rPr>
          <w:rFonts w:hAnsi="宋体" w:eastAsia="仿宋_GB2312" w:cs="宋体"/>
          <w:kern w:val="0"/>
          <w:sz w:val="30"/>
          <w:szCs w:val="30"/>
        </w:rPr>
      </w:pPr>
    </w:p>
    <w:p w14:paraId="04F5A7C7">
      <w:pPr>
        <w:spacing w:line="540" w:lineRule="exact"/>
        <w:jc w:val="center"/>
        <w:rPr>
          <w:rFonts w:hAnsi="宋体" w:eastAsia="仿宋_GB2312" w:cs="宋体"/>
          <w:kern w:val="0"/>
          <w:sz w:val="30"/>
          <w:szCs w:val="30"/>
        </w:rPr>
      </w:pPr>
    </w:p>
    <w:p w14:paraId="7129C928">
      <w:pPr>
        <w:spacing w:line="540" w:lineRule="exact"/>
        <w:jc w:val="center"/>
        <w:rPr>
          <w:rFonts w:hAnsi="宋体" w:eastAsia="仿宋_GB2312" w:cs="宋体"/>
          <w:kern w:val="0"/>
          <w:sz w:val="30"/>
          <w:szCs w:val="30"/>
        </w:rPr>
      </w:pPr>
    </w:p>
    <w:p w14:paraId="74814C68">
      <w:pPr>
        <w:spacing w:line="540" w:lineRule="exact"/>
        <w:jc w:val="center"/>
        <w:rPr>
          <w:rFonts w:hAnsi="宋体" w:eastAsia="仿宋_GB2312" w:cs="宋体"/>
          <w:kern w:val="0"/>
          <w:sz w:val="30"/>
          <w:szCs w:val="30"/>
        </w:rPr>
      </w:pPr>
    </w:p>
    <w:p w14:paraId="2CF94014">
      <w:pPr>
        <w:spacing w:line="540" w:lineRule="exact"/>
        <w:rPr>
          <w:rFonts w:hAnsi="宋体" w:eastAsia="仿宋_GB2312" w:cs="宋体"/>
          <w:kern w:val="0"/>
          <w:sz w:val="30"/>
          <w:szCs w:val="30"/>
        </w:rPr>
      </w:pPr>
    </w:p>
    <w:p w14:paraId="5B7465B9">
      <w:pPr>
        <w:spacing w:line="700" w:lineRule="exact"/>
        <w:jc w:val="left"/>
        <w:rPr>
          <w:rFonts w:hAnsi="宋体" w:eastAsia="仿宋_GB2312" w:cs="宋体"/>
          <w:kern w:val="0"/>
          <w:sz w:val="36"/>
          <w:szCs w:val="36"/>
        </w:rPr>
      </w:pPr>
      <w:r>
        <w:rPr>
          <w:rFonts w:hint="eastAsia" w:hAnsi="宋体" w:eastAsia="仿宋_GB2312" w:cs="宋体"/>
          <w:kern w:val="0"/>
          <w:sz w:val="36"/>
          <w:szCs w:val="36"/>
        </w:rPr>
        <w:t xml:space="preserve">     </w:t>
      </w:r>
    </w:p>
    <w:p w14:paraId="1AEB29C3">
      <w:pPr>
        <w:spacing w:line="700" w:lineRule="exact"/>
        <w:ind w:firstLine="900" w:firstLineChars="250"/>
        <w:jc w:val="left"/>
        <w:rPr>
          <w:rFonts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业务费补助</w:t>
      </w:r>
    </w:p>
    <w:p w14:paraId="51402212">
      <w:pPr>
        <w:spacing w:line="540" w:lineRule="exact"/>
        <w:ind w:firstLine="567"/>
        <w:rPr>
          <w:rFonts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昌吉市人民法院</w:t>
      </w:r>
    </w:p>
    <w:p w14:paraId="4F2E21F9">
      <w:pPr>
        <w:spacing w:line="540" w:lineRule="exact"/>
        <w:ind w:firstLine="900" w:firstLineChars="250"/>
        <w:rPr>
          <w:rFonts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昌吉市人民法院</w:t>
      </w:r>
    </w:p>
    <w:p w14:paraId="21DB86E8">
      <w:pPr>
        <w:spacing w:line="540" w:lineRule="exact"/>
        <w:ind w:firstLine="900" w:firstLineChars="250"/>
        <w:rPr>
          <w:rFonts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王胜军</w:t>
      </w:r>
    </w:p>
    <w:p w14:paraId="67D0C1C5">
      <w:pPr>
        <w:spacing w:line="540" w:lineRule="exact"/>
        <w:ind w:left="273" w:firstLine="567"/>
        <w:rPr>
          <w:rStyle w:val="18"/>
          <w:rFonts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2024年05月15日</w:t>
      </w:r>
    </w:p>
    <w:p w14:paraId="5651B94E">
      <w:pPr>
        <w:spacing w:line="700" w:lineRule="exact"/>
        <w:ind w:firstLine="708" w:firstLineChars="236"/>
        <w:jc w:val="left"/>
        <w:rPr>
          <w:rFonts w:hAnsi="宋体" w:eastAsia="仿宋_GB2312" w:cs="宋体"/>
          <w:kern w:val="0"/>
          <w:sz w:val="30"/>
          <w:szCs w:val="30"/>
        </w:rPr>
      </w:pPr>
    </w:p>
    <w:p w14:paraId="2AFA1A00">
      <w:pPr>
        <w:spacing w:line="540" w:lineRule="exact"/>
        <w:rPr>
          <w:rStyle w:val="18"/>
          <w:rFonts w:ascii="黑体" w:hAnsi="黑体" w:eastAsia="黑体"/>
          <w:b w:val="0"/>
          <w:spacing w:val="-4"/>
          <w:sz w:val="32"/>
          <w:szCs w:val="32"/>
        </w:rPr>
      </w:pPr>
    </w:p>
    <w:p w14:paraId="2E560D12">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一、基本情况</w:t>
      </w:r>
    </w:p>
    <w:p w14:paraId="2C8E9D64">
      <w:pPr>
        <w:spacing w:line="540" w:lineRule="exact"/>
        <w:ind w:firstLine="567"/>
        <w:rPr>
          <w:rStyle w:val="18"/>
          <w:rFonts w:hint="default" w:ascii="楷体" w:hAnsi="楷体" w:eastAsia="楷体"/>
          <w:spacing w:val="-4"/>
          <w:sz w:val="32"/>
          <w:szCs w:val="32"/>
          <w:lang w:val="en-US" w:eastAsia="zh-CN"/>
        </w:rPr>
      </w:pPr>
      <w:r>
        <w:rPr>
          <w:rStyle w:val="18"/>
          <w:rFonts w:hint="eastAsia" w:ascii="楷体" w:hAnsi="楷体" w:eastAsia="楷体"/>
          <w:spacing w:val="-4"/>
          <w:sz w:val="32"/>
          <w:szCs w:val="32"/>
        </w:rPr>
        <w:t>（一）项目概况</w:t>
      </w:r>
      <w:r>
        <w:rPr>
          <w:rStyle w:val="18"/>
          <w:rFonts w:hint="eastAsia" w:ascii="楷体" w:hAnsi="楷体" w:eastAsia="楷体"/>
          <w:spacing w:val="-4"/>
          <w:sz w:val="32"/>
          <w:szCs w:val="32"/>
          <w:lang w:eastAsia="zh-CN"/>
        </w:rPr>
        <w:t>。</w:t>
      </w:r>
    </w:p>
    <w:p w14:paraId="606A2B3E">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1.项目背景</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为了提高审判办案质效，保障法院重点工作，弥补法院项目经费不足的情况，最高人民法院财政部下发了《司法行政机关办案(业务)经费和业务装备经费开支范围》[85]司发计字第384号)、《最高人民法院关于进一步推进案件繁简分流优化司法资源配置的若干意见》（法发〔2016〕21号），该通知主要是围绕法院审判办案所需的业务经费以及办案有关的一些经费支出作出规范要求，以提高审判办案质效，提高案件结案率、执行率，保障法院重点工作，弥补法院项目经费不足的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2023年，昌吉市人民法院使用该项目资金主要用于保障法院依法履行审判执行、受理案件职责，保障130名工作人员工资。通过实施该项目，有利于为我院提供必要的经费支持，提升社会公众满意度，维护社会稳定与长治久安。</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2.主要内容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（1）项目名称：业务费补助项目（以下简称“该项目”或“项目”）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（2）项目主要内容：本项目主要用于法院依法履行审判执行、受理案件4个月的后勤经费支出30万元，3个保洁人员4个月工资 45707.20元，8个厨房大师傅4个月工资 187881.60元，4个驾驶员4个月工资  71576元，114个书记员4个月工资3034835.2元。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3.实施情况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实施主体：昌吉市人民法院。</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实施时间：本项目实施周期为2023年1月-2023年12月。</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实施情况：本项目于2023年1月开始实施，</w:t>
      </w:r>
      <w:r>
        <w:rPr>
          <w:rStyle w:val="18"/>
          <w:rFonts w:hint="eastAsia" w:ascii="楷体" w:hAnsi="楷体" w:eastAsia="楷体"/>
          <w:b w:val="0"/>
          <w:bCs w:val="0"/>
          <w:spacing w:val="-4"/>
          <w:sz w:val="32"/>
          <w:szCs w:val="32"/>
          <w:lang w:eastAsia="zh-CN"/>
        </w:rPr>
        <w:t>截至</w:t>
      </w:r>
      <w:r>
        <w:rPr>
          <w:rStyle w:val="18"/>
          <w:rFonts w:hint="eastAsia" w:ascii="楷体" w:hAnsi="楷体" w:eastAsia="楷体"/>
          <w:b w:val="0"/>
          <w:bCs w:val="0"/>
          <w:spacing w:val="-4"/>
          <w:sz w:val="32"/>
          <w:szCs w:val="32"/>
        </w:rPr>
        <w:t>2023年7月已全部支付受理、审判案件工作人员4个月后勤经费支出，全部支付8个厨房大师傅、3个保洁人员、4个驾驶员、114个书记员4个月工资，支付前办公室已全部通过政采云成交并验收，通过本项目的实施，提升了社会公众满意度，维护了社会稳定与长治久安。</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4.项目实施主体</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（1）主要职能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市人民法院是国家审判机关，对市人民代表大会及常务委员会负责并报告工作，接受自治州中级人民法院对审判工作的监督和业务指导，正科级建制。其主要职责是：1.依法审判法律规定由基层人民法院管辖，自治州中级人民法院指定管辖或者认为应当由自己审判的刑事、民事、行政等第一审案件。2.审理上级法院指令再审的各类案件；受理不服本院一审生效裁判的各类申诉和再诉申请，对其中确有错误的，依法提起再审。3.依法审判由市人民检察院按照审判监督程序提出的抗诉案件。4.处理不需要开庭审判的民事纠纷和轻微的刑事案件。5.依法行使司法执行权和司法决定权。6.依法办理外地法院委托办理的司法协助事项。7.对法院的法官和其他工作人员进行思想政治教育，组织业务专业培训和监督管理工作。8.指导基层人民调解委员会的工作。9.在审判工作中宣传法制，教育公民自觉遵守宪法、法律。10.管理人民法院的有关经费和物质装备。11.承办其他应当由市法院负责的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（2）机构设置情况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2023年业务费补助项目的实施主体为昌吉市人民法院，该单位纳入2023年部门决算编制范围的有13个科室，分别是：行政办公室、 政治部、司法警察大队、立案庭、民事审判第一庭、民事审判第二庭、刑事审 判庭、行政审判庭、审判研究室（审判委员会办公室）、执行局、大西渠人民 法庭、滨湖人民法庭、三工法庭。</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编制人数为153人，其中：行政人员编制148人、工勤5人。实有在职人数27人，其中：行政在职129人、工勤14人。离退休人员60人，遗属人员1人。其中：行政退休人员60人。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5.资金投入和使用情况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（1）项目资金安排落实、总投入等情况分析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本项目预算安排总额为364万元，资金来源为本级部门预算，其中：财政资金364万元，其他资金0万元，2023年实际收到预算资金364万元，预算资金到位率为100.0%。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（2）项目资金实际使用情况分析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截至2023年12月31日，本项目实际支付资金364万元，预算执行率100.0%。本项目资金主要用于支付干部工资费用334万元、业务保障费用30万元。</w:t>
      </w:r>
    </w:p>
    <w:p w14:paraId="2BB7E635">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（二）项目绩效目标</w:t>
      </w:r>
    </w:p>
    <w:p w14:paraId="31BA9FE9">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1.总体目标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为达到社会稳定与长治久安，使社会公众满意度达到90%，更好的履行审判执行、受理案件职责，我单位计划受理案件数量大于3万件，保障干部人数大于等于130人，受理案件完成率达到90%，业务经费支付及时率达到100%，保障人员经费小于等于334万元，保障业务经费小于等于30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2.阶段性目标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（1）项目产出指标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①数量指标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“受理案件数量”指标，预期指标值为“大于3万件”；</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“保障干部人数”指标，预期指标值为“大于等于130人”；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②质量指标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“受理案件完成率”指标，预期指标值为“大于等于90%”；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③时效指标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“业务经费支付及时率”指标，预期指标值为“等于100%”；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（2）项目成本指标指标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“保障人员经费”指标，预期指标值为“小于等于334万元”；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“保障业务经费”指标，预期指标值为“小于等于30万元”；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③生态环境成本指标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“维护社会稳定与长治久安”指标，预期指标值为“长久”；</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（4）项目满意度指标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①满意度指标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“社会公众满意度”指标，预期指标值为“大于等于90%”。</w:t>
      </w:r>
    </w:p>
    <w:p w14:paraId="2CFDFCE0">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14:paraId="22272B59">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（一）绩效评价目的、对象和范围</w:t>
      </w:r>
    </w:p>
    <w:p w14:paraId="1732838E">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1.绩效评价的目的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绩效评价，促进本单位总结经验、发现问题、改进工作，旨在评价本项目前期审批、实施过程及实施效果，促进预算管理不断完善，加快绩效目标的实现，保证财政资金有效、合理使用，为下年度部门项目支出预算安排、完善政策和改进管理提供可行性参考建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2.绩效评价对象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此次我单位根据《财政支出绩效评价管理暂行办法》（财预〔2020〕10号）文件要求实施评价工作，本次评价对象为业务费补助项目，评价核心为项目资金、项目产出、项目效益。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3.绩效评价范围</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4.绩效评价依据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（1）《中华人民共和国预算法》；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（2）《中共中央国务院关于全面实施预算绩效管理的意见》（中发〔2018〕34号）；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（3）《项目支出绩效评价管理办法》（财预〔2020〕10号）；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（4）《自治区财政支出绩效评价管理暂行办法》（新财预〔2018〕189号）；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（5）《司法行政机关办案(业务)经费和业务装备经费开支范围》[85]司发计字第384号)；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（6）《最高人民法院关于进一步推进案件繁简分流优化司法资源配置的若干意见 》（法发〔2016〕21号）。</w:t>
      </w:r>
    </w:p>
    <w:p w14:paraId="51DE841A">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14:paraId="765A741C">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1.绩效评价的目的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绩效评价，促进本单位总结经验、发现问题、改进工作，旨在评价本项目前期审批、实施过程及实施效果，促进预算管理不断完善，加快绩效目标的实现，保证财政资金有效、合理使用，为下年度部门项目支出预算安排、完善政策和改进管理提供可行性参考建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2.绩效评价对象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此次我单位根据《财政支出绩效评价管理暂行办法》（财预〔2020〕10号）文件要求实施评价工作，本次评价对象为业务费补助项目，评价核心为项目资金、项目产出、项目效益。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3.绩效评价范围</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4.绩效评价依据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（1）《中华人民共和国预算法》；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（2）《中共中央国务院关于全面实施预算绩效管理的意见》（中发〔2018〕34号）；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（3）《项目支出绩效评价管理办法》（财预〔2020〕10号）；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（4）《自治区财政支出绩效评价管理暂行办法》（新财预〔2018〕189号）；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（5）《司法行政机关办案(业务)经费和业务装备经费开支范围》[85]司发计字第384号)；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（6）《最高人民法院关于进一步推进案件繁简分流优化司法资源配置的若干意见 》（法发〔2016〕21号）。</w:t>
      </w:r>
    </w:p>
    <w:p w14:paraId="3C40767D">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（三）绩效评价工作过程</w:t>
      </w:r>
    </w:p>
    <w:p w14:paraId="0BD5D1BD">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1.前期准备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于2024年3月6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李佩隶（评价小组组长）：主要负责项目策划和监督，全面负责项目绩效评价办稿的最终质量，对评估人员出具的最终报告质量进行复核，确保评估结果的客观性；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张玉芳（评价小组组员）：主要负责资料的收集，取证、数据统计分析；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王思玉（评价小组组员）：主要负责主要负责项目报告的制定，指标的研判，数据分析及报告撰写。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2024年3月7日-3月16日，评价工作进入实施阶段。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质量管理、项目建设等相关资料，完成绩效评价内容所需的印证资料整理，所有数据经核查后统计汇总。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经调研了解，该项目主要受益群体包括社会公众。我们根据绩效评价目标和绩效指标体系，设计满意度调查问卷进行问卷调查，其中社会公众受益对象共选取样本20人，共发放问卷20份，最终收回20份。 </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3.分析评价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2024年3月17日-3月27日，评价小组按照绩效评价的原则和规范，对取得的资料进行审查核实，对采集的数据进行分析，按照绩效评价指标评分表逐项进行打分、分析、汇总各方评价结果。　</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4.撰写与提交评价报告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2024年3月7日-4月9日，评价小组撰写绩效评价报告，按照新疆维吾尔自治区财政绩效管理信息系统绩效评价模块中统一格式和文本框架撰写绩效评价报告并提交审核。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5.问题整改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6.档案整理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建立和落实档案管理制度，将项目相关资料存档，包括但不限于：评价项目基本情况和相关文件、评价实施方案、项目支付资料等相关档案。</w:t>
      </w:r>
    </w:p>
    <w:p w14:paraId="7704E3A0">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14:paraId="167576BD">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（一）综合评价情况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评价，本项目达成年初设立的绩效目标，在实施过程中取得了良好的成效，具体表现在：通过项目的实施，完成了受理案件数量、保障干部人数产出目标，发挥了维护社会稳定与长治久安效益。但在实施过程中也存在一些不足：预算支出责任意识不够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绩效评价通过绩效评价小组论证的评价指标体系及评分标准，采用因素分析法和比较法对本项目绩效进行客观评价，本项目共设置三级指标数量19个，实现三级指标数量19个，总体完成率为100.0%。最终评分结果：总分为100.0分，绩效评级为“优”。综合评价结论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项目决策类指标共设置6个，满分指标6个，得分率100.0%；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过程管理类指标共设置5个，满分指标5个，得分率100.0%；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项目产出类指标共设置4个，满分指标4个，得分率100.0%；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项目成本类指标共设置2个，满分指标2个，得分率100.0%；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项目效益类指标共设置2个，满分指标2个，得分率100.0%。</w:t>
      </w:r>
    </w:p>
    <w:p w14:paraId="4DB68B89">
      <w:pPr>
        <w:spacing w:line="540" w:lineRule="exact"/>
        <w:ind w:firstLine="640"/>
        <w:rPr>
          <w:rStyle w:val="18"/>
          <w:rFonts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14:paraId="0AB52C96">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14:paraId="5A65A611">
      <w:pPr>
        <w:tabs>
          <w:tab w:val="center" w:pos="4295"/>
        </w:tabs>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项目决策类指标由3个二级指标和6个三级指标构成，权重分21.00分，实际得分21.00分。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1.项目立项情况分析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（1）立项依据充分性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本项目立项符合最高人民法院颁发的《司法行政机关办案(业务)经费和业务装备经费开支范围》[85]司发计字第384号)中：“一、调解费：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调解委员会的办公文具、纸张补助费，调解人员学习专业资料费、误工补贴、表彰会经费，无固定工资收入、工作成绩优异的调解人员生活补助费；九、其他：上述一至八项未能包括的其他司法行政业务费用。”；本项目立项符合《最高人民法院关于进一步推进案件繁简分流优化司法资源配置的若干意见 》（法发〔2016〕21号）中：“提升人案配比科学性。在精确测算人员、案件数量和工作量的基础上，动态调整不同法院、不同审判部门的审判力量。根据法院审级、案件繁简等相关因素，合理确定法官、法官助理、书记员的配置比例，科学界定各自职能定位及其相互关系，最大程度地发挥审判团队优势。”内容，符合行业发展规划和政策要求；本项目立项符合《昌吉市人民法院配置内设机构和人员编制规定》中职责范围中的“依法审判法律规定由基层人民法院管辖，自治州中级人民法院指定管辖或者认为应当由自己审判的刑事、民事、行政等第一审案件。审理上级法院指令再审的各类案件；受理不服本院一审生效裁判的各类申诉和再诉申请，对其中确有错误的，依法提起再审。”属于我单位履职所需；根据《财政资金直接支付申请书》，本项目资金性质为“公共财政预算”功能分类为“一般行政管理事务”经济分类为“商品和服务支出、对个人和家庭的补助、资本性支出”属于公共财政支持范围，符合中央、地方事权支出责任划分原则；经检查我单位财政应用平台指标，本项目不存在重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综上所述，本指标满分为5.00分，根据评分标准得5.00分，本项目立项依据充分。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（2）立项程序规范性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本项目为非基础建设类项目，属于专项资金安排项目，不涉及事前绩效评估、可行性研究以及风险评估，由我单位严格按照昌州党财〔2023〕001号文件要求实施项目。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综上所述，本指标满分为3.00分，根据评分标准得3.00分，本项目立项程序规范。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2.绩效目标情况分析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（1）绩效目标合理性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本项目已设置年度绩效目标，具体内容为“根据《司法行政机关办案(业务)经费和业务装备经费开支范围》[85]司发计字第384号)、《最高人民法院关于进一步推进案件繁简分流优化司法资源配置的若干意见 》（法发〔2016〕21号）。我单位负责受理民事、刑事、行政等案件3万件；保障130名工作人员，依法受理、审、执案件,办理公益诉讼案件，最后达到维护社会稳定与长治久安的效果。”；本项目实际工作内容为：受理案件数量4.62万件；保障130名工作人员，受理案件完成率达到94.52%，业务经费支付及时率达到100%，保障人员经费334万元，保障业务经费30万元，最后达到维护社会稳定与长治久安的效果；绩效目标与实际工作内容一致，两者具有相关性;本项目按照绩效目标完成了数量指标、质量指标、时效指标、成本指标，有效维护社会稳定与长治久安，年度绩效目标完成，预期产出效益和效果符合正常的业绩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综上所述，本指标满分为4.00分，根据评分标准得4.00分，本项目绩效目标设置合理。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（2）绩效指标明确性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检查我单位年初设置的《项目支出绩效目标表》，得出如下结论：本项目已将年度绩效目标进行细化为绩效指标体系，共设置一级指标4个，二级指标6个，三级指标8个，定量指标7个，定性指标1个，指标量化率为87.5%，量化率达70.00%以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综上所述，本指标满分为3.00分，根据评分标准得3.00分，本项目所设置绩效指标明确。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3.资金投入情况分析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（1）预算编制科学性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本项目预算编制通过市场询价测算得出，受理、审判案件人员4个月后勤经费支出30万元，3个保洁人员4个月工资 45707.20元，8个厨房大师傅4个月工资 187881.60元，4个驾驶员4个月工资  71576元，114个书记员4个月工资3034835.2元。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即预算编制较科学且经过论证；</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预算申请内容为人员工资及业务费补助，项目实际内容为人员工资和办案经费，预算申请与《业务费补助项目实施方案》中涉及的项目内容匹配；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申请资金364万元，我单位在预算申请中严格按照分项成本进行核算，其中：保障人员经费成本为334万元、保障业务经费成本为30万元。本项目预算额度测算依据充分，严格按照标准编制，预算确定资金量与实际工作任务相匹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综上所述，本指标满分为4.00分，根据评分标准4.00分，本项目预算编制科学。</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（2）资金分配合理性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分配资金以《关于申请业务费补助项目资金的请示》和《业务费补助项目实施方案》为依据进行资金分配，预算资金分配依据充分。根据《2023年预算资金批复》文件显示，本项目实际到位资金364万元，实际分配资金与我单位提交申请的资金额度一致，资金分配额度合理，与我单位实际需求相适应。</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综上所述，本指标满分为2.00分，根据评分标准得2.00分，本项目资金分配合理。</w:t>
      </w:r>
      <w:r>
        <w:rPr>
          <w:rStyle w:val="18"/>
          <w:rFonts w:hint="eastAsia" w:ascii="楷体" w:hAnsi="楷体" w:eastAsia="楷体"/>
          <w:b w:val="0"/>
          <w:bCs w:val="0"/>
          <w:spacing w:val="-4"/>
          <w:sz w:val="32"/>
          <w:szCs w:val="32"/>
        </w:rPr>
        <w:tab/>
      </w:r>
    </w:p>
    <w:p w14:paraId="2B8945BC">
      <w:pPr>
        <w:spacing w:line="540" w:lineRule="exact"/>
        <w:ind w:firstLine="567" w:firstLineChars="181"/>
        <w:rPr>
          <w:rStyle w:val="18"/>
          <w:rFonts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14:paraId="4F390232">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项目过程管理类指标由2个二级指标和5个三级指标构成，权重分19.00分，实际得分19.00分。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1.资金管理情况分析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（1）资金到位率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资金为364万元，其中：本级财政安排资金364万元，其他资金0万元，实际到位资金364万元，资金到位率等于（实际到位资金/预算资金）×100.00%等于（364/364）×100.00%等于100.0%。得分等于资金到位率*分值等于100.0%×4等于4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综上所述，本指标满分为4.00分，根据评分标准得4.00分，本项目资金分配合理。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（2）预算执行率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本项目实际支出资金364万元，预算执行率等于（实际支出资金/实际到位资金）×100.00%等于（364/364）×100.00%等于100%。得分等于预算执行率×分值等于100%×5等于5分。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综上所述，本指标满分为5.00分，根据评分标准得5.00分，本项目资金分配合理。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（3）资金使用合规性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通过检查本项目签订的合同、资金申请文件、发票等财务付款凭证，得出本项目资金支出符合国家财经法规、《政府会计制度》以及《昌吉市人民法院资金管理办法》《昌吉市人民法院专项资金管理办法》，资金的拨付有完整的审批程序和手续，资金实际使用方向与预算批复用途一致，不存在截留、挤占、挪用、虚列支出的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综上所述，本指标满分为4.00分，根据评分标准得4.00分，资金支出符合我单位财务管理制度规定。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（1）管理制度健全性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已制定《昌吉市人民法院资金管理办法》《昌吉市人民法院收支业务管理制度》《昌吉市人民法院政府采购业务管理制度》《昌吉市人民法院合同管理制度》，上述已建立的制度均符合行政事业单位内控管理要求，财务和业务管理制度合法、合规、完整，本项目执行符合上述制度规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综上所述，本指标满分为2.00分，根据评分标准得2.00分，项目制度建设健全。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（2）制度执行有效性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业务费补助项目工作领导小组，由院长王胜军任组长，负责项目的组织工作；刘威任副组长，负责项目的实施工作；组员包括：李智刚，主要负责项目监督管理、验收以及资金核拨等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综上所述，本指标满分为4.00分，根据评分标准得4.00分，本项目所建立制度执行有效。</w:t>
      </w:r>
    </w:p>
    <w:p w14:paraId="364228FE">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14:paraId="2C24C6C5">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项目产出类指标3个二级指标和4个三级指标构成，权重分20.0分，实际得分20.0分。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1.数量指标完成情况分析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“受理案件数量”指标：预期指标值为“大于3万件”，实际完成指标值为“4.62万件”，指标完成率为100.0%。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“保障干部人数”指标：预期指标值为“大于等于130人”，实际完成指标值为“130人”，指标完成率为100.0%。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综上所述，本指标满分为10.0分，根据评分标准得10.0分。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2.质量指标完成情况分析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“受理案件完成率”指标：预期指标值为“大于等于90%”，实际完成指标值为“94.52%”，指标完成率为100.0%。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综上所述，本指标满分为5.0分，根据评分标准得5.0分。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3.时效指标完成情况分析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“业务经费支付及时率”指标：预期指标值为“100%”，实际完成指标值为“100%”，指标完成率为100.0%。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综上所述，本指标满分为5.0分，根据评分标准得5.0分。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（四）项目成本情况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项目成本情况指标由1个二级指标和2个三级指标构成，权重分10.0分，实际得分10.0分。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1.经济成本指标完成情况分析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“保障人员经费”指标：预期指标值为“小于等于334万元”，实际完成指标值为“334万元”，指标完成率为100.0%。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“保障业务经费”指标：预期指标值为“小于等于30万元”，实际完成指标值为“30万元”，指标完成率为100.0%。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综上所述，本指标满分为10.0分，根据评分标准得10.0分。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2.社会成本指标完成情况分析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3.生态环境成本指标完成情况分析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p>
    <w:p w14:paraId="79F0EC71">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14:paraId="0D3AC848">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项目效益类指标由2个二级指标和2个三级指标构成，权重分30.0分，实际得分30.0分。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1.经济效益完成情况分析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2.社会效益完成情况分析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“维护社会稳定与长治久安”指标：预期指标值为“长久”，实际完成指标值为“长久”，指标完成率为100.0%。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综上所述，本指标满分为15.0分，根据评分标准得15.0分。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3.生态效益完成情况分析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4.满意度完成情况分析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“社会公众满意度”指标：预期指标值为“大于等于90%”，实际完成指标值为“100%”，指标完成率为100.0%。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综上所述，本指标满分为15.0分，根据评分标准得15.0分。</w:t>
      </w:r>
    </w:p>
    <w:p w14:paraId="437236C5">
      <w:pPr>
        <w:spacing w:line="540" w:lineRule="exact"/>
        <w:ind w:firstLine="567"/>
        <w:rPr>
          <w:rStyle w:val="18"/>
          <w:rFonts w:ascii="楷体" w:hAnsi="楷体" w:eastAsia="楷体"/>
          <w:spacing w:val="-4"/>
          <w:sz w:val="32"/>
          <w:szCs w:val="32"/>
        </w:rPr>
      </w:pPr>
    </w:p>
    <w:p w14:paraId="29C6C7F5">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lang w:val="en-US" w:eastAsia="zh-CN"/>
        </w:rPr>
        <w:t>预算执行进度与绩效指标偏差</w:t>
      </w:r>
    </w:p>
    <w:p w14:paraId="47CCBC4A">
      <w:pPr>
        <w:spacing w:line="540" w:lineRule="exact"/>
        <w:ind w:firstLine="567"/>
        <w:rPr>
          <w:rStyle w:val="18"/>
          <w:rFonts w:hint="default" w:ascii="黑体" w:hAnsi="黑体" w:eastAsia="黑体"/>
          <w:b w:val="0"/>
          <w:spacing w:val="-4"/>
          <w:sz w:val="32"/>
          <w:szCs w:val="32"/>
          <w:lang w:val="en-US" w:eastAsia="zh-CN"/>
        </w:rPr>
      </w:pPr>
      <w:r>
        <w:rPr>
          <w:rStyle w:val="18"/>
          <w:rFonts w:hint="eastAsia" w:ascii="楷体" w:hAnsi="楷体" w:eastAsia="楷体"/>
          <w:b w:val="0"/>
          <w:bCs w:val="0"/>
          <w:spacing w:val="-4"/>
          <w:sz w:val="32"/>
          <w:szCs w:val="32"/>
        </w:rPr>
        <w:t>本项目年初预算资金总额为364.00万元，全年预算数为364.00万元，全年执行数为364.00万元，预算执行率为100.0%。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本项目共设置三级指标数量19个，满分指标数量19个，扣分指标数量0个，经分析计算所有三级指标完成率得出，本项目总体完成率为100.0%。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综上所述本项目预算执行进度与绩效指标完成进度无偏差。</w:t>
      </w:r>
    </w:p>
    <w:p w14:paraId="75FDB91C">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主要经验及做法、存在的问题及原因分析</w:t>
      </w:r>
    </w:p>
    <w:p w14:paraId="60B84885">
      <w:pPr>
        <w:spacing w:line="540" w:lineRule="exact"/>
        <w:ind w:firstLine="567"/>
        <w:rPr>
          <w:rFonts w:ascii="仿宋_GB2312" w:eastAsia="仿宋_GB2312"/>
          <w:spacing w:val="-4"/>
          <w:sz w:val="32"/>
          <w:szCs w:val="32"/>
        </w:rPr>
      </w:pPr>
      <w:r>
        <w:rPr>
          <w:rStyle w:val="18"/>
          <w:rFonts w:hint="eastAsia" w:ascii="楷体" w:hAnsi="楷体" w:eastAsia="楷体"/>
          <w:b w:val="0"/>
          <w:bCs w:val="0"/>
          <w:spacing w:val="-4"/>
          <w:sz w:val="32"/>
          <w:szCs w:val="32"/>
        </w:rPr>
        <w:t>（一）主要经验及做法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办公室建立健全了预算管理规章制度，各部门严格按预算编制和要求做好当年预算编制工作，在预算绩效管理工作中，做到合理安排各项资金，重点保障基本支出，按轻重缓急顺序原则，优先安排了昌吉市人民政府办公室事业发展中关系民生与稳定的项目，切实优化资源配置，提高了资金使用的效率和效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所设定的绩效目标依据充分，绩效目标设定的绩效指标明确，预算编制具有合理性，制度建设完全，相关制度执行有效，资金到位不及时，但未影响项目进度。项目资金严格按照预算管理规定开支，项目能够按时开展，并及时完成，总体完成质量较好，达成了既定的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重视前期工作，做好实施方案。建设单位通过关口前置，把项目单位之所需、项目单位之所想、项目单位之所困作为设计工作的基础，在做设计的过程中让这些因素得到充分考量和体现，细化实化工程任务，协调推进工程建设。建设单位积极配合设计单位呈现实情，设计单位应深入现场，全面把握第一手资料，使实施方案科学合理、切合实际。在进行可行性研究时，强调可行性和可操作性，以实事求是的态度对待可行性研究工作，注重建设地点是否可以落实、项目建设外部条件是否具备、建设内容规模是否科学合理、切合实际等，避免立项后存在先天不足，影响项目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（二）存在的问题及原因分析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我单位绩效项目相关工作人员因未参与过正式的业务培训，绩效知识较为薄弱。</w:t>
      </w:r>
    </w:p>
    <w:p w14:paraId="7E998FF0">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lang w:val="en-US" w:eastAsia="zh-CN"/>
        </w:rPr>
        <w:t>七</w:t>
      </w:r>
      <w:r>
        <w:rPr>
          <w:rStyle w:val="18"/>
          <w:rFonts w:hint="eastAsia" w:ascii="黑体" w:hAnsi="黑体" w:eastAsia="黑体"/>
          <w:b w:val="0"/>
          <w:spacing w:val="-4"/>
          <w:sz w:val="32"/>
          <w:szCs w:val="32"/>
        </w:rPr>
        <w:t>、有关建议</w:t>
      </w:r>
    </w:p>
    <w:p w14:paraId="404909BD">
      <w:pPr>
        <w:spacing w:line="540" w:lineRule="exact"/>
        <w:ind w:firstLine="567"/>
        <w:rPr>
          <w:rStyle w:val="18"/>
          <w:rFonts w:ascii="楷体" w:hAnsi="楷体" w:eastAsia="楷体"/>
          <w:spacing w:val="-4"/>
          <w:sz w:val="32"/>
          <w:szCs w:val="32"/>
        </w:rPr>
      </w:pPr>
      <w:r>
        <w:rPr>
          <w:rStyle w:val="18"/>
          <w:rFonts w:hint="eastAsia" w:ascii="楷体" w:hAnsi="楷体" w:eastAsia="楷体"/>
          <w:b w:val="0"/>
          <w:bCs w:val="0"/>
          <w:spacing w:val="-4"/>
          <w:sz w:val="32"/>
          <w:szCs w:val="32"/>
        </w:rPr>
        <w:t>加强预算绩效目标编制的培训学习。提高绩效目标编制质量，确保绩效目标“够得着、能实现”。加大对参与绩效管理工作的人员培训力度，进一步统一认识，充实业务知识。以提高工作人员素质，以达到预算绩效管理标准化、常态化的要求，最终实现提高绩效管理工作效率及质量的目标。</w:t>
      </w:r>
    </w:p>
    <w:p w14:paraId="4FA2FC91">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lang w:val="en-US" w:eastAsia="zh-CN"/>
        </w:rPr>
        <w:t>八</w:t>
      </w:r>
      <w:r>
        <w:rPr>
          <w:rStyle w:val="18"/>
          <w:rFonts w:hint="eastAsia" w:ascii="黑体" w:hAnsi="黑体" w:eastAsia="黑体"/>
          <w:b w:val="0"/>
          <w:spacing w:val="-4"/>
          <w:sz w:val="32"/>
          <w:szCs w:val="32"/>
        </w:rPr>
        <w:t>、其他需要说明的问题</w:t>
      </w:r>
    </w:p>
    <w:p w14:paraId="6F1DEE2D">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我单位对上述项目支出绩效评价报告内反映内容的真实性、完整性负责，接受上级部门及社会公众监督。</w:t>
      </w:r>
    </w:p>
    <w:p w14:paraId="5C0EFC5A">
      <w:pPr>
        <w:spacing w:line="540" w:lineRule="exact"/>
        <w:ind w:firstLine="567"/>
        <w:rPr>
          <w:rStyle w:val="18"/>
          <w:rFonts w:ascii="仿宋" w:hAnsi="仿宋" w:eastAsia="仿宋"/>
          <w:b w:val="0"/>
          <w:spacing w:val="-4"/>
          <w:sz w:val="32"/>
          <w:szCs w:val="32"/>
        </w:rPr>
      </w:pPr>
    </w:p>
    <w:p w14:paraId="296E204F">
      <w:pPr>
        <w:spacing w:line="540" w:lineRule="exact"/>
        <w:ind w:firstLine="567"/>
        <w:rPr>
          <w:rStyle w:val="18"/>
          <w:rFonts w:ascii="仿宋" w:hAnsi="仿宋" w:eastAsia="仿宋"/>
          <w:b w:val="0"/>
          <w:spacing w:val="-4"/>
          <w:sz w:val="32"/>
          <w:szCs w:val="32"/>
        </w:rPr>
      </w:pPr>
    </w:p>
    <w:p w14:paraId="49F2CAB7">
      <w:pPr>
        <w:spacing w:line="540" w:lineRule="exact"/>
        <w:ind w:firstLine="567"/>
        <w:rPr>
          <w:rStyle w:val="18"/>
          <w:rFonts w:ascii="仿宋" w:hAnsi="仿宋" w:eastAsia="仿宋"/>
          <w:b w:val="0"/>
          <w:spacing w:val="-4"/>
          <w:sz w:val="32"/>
          <w:szCs w:val="32"/>
        </w:rPr>
      </w:pPr>
    </w:p>
    <w:p w14:paraId="67EDD29E">
      <w:pPr>
        <w:spacing w:line="540" w:lineRule="exact"/>
        <w:ind w:firstLine="567"/>
        <w:rPr>
          <w:rStyle w:val="18"/>
          <w:rFonts w:ascii="仿宋" w:hAnsi="仿宋" w:eastAsia="仿宋"/>
          <w:b w:val="0"/>
          <w:spacing w:val="-4"/>
          <w:sz w:val="32"/>
          <w:szCs w:val="32"/>
        </w:rPr>
      </w:pPr>
    </w:p>
    <w:p w14:paraId="02B1E343">
      <w:pPr>
        <w:spacing w:line="540" w:lineRule="exact"/>
        <w:ind w:firstLine="567"/>
        <w:rPr>
          <w:rStyle w:val="18"/>
          <w:rFonts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4A8A587-8969-4CEA-BED0-11B5C77466B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D439D36-58BF-466D-94AA-EA6C2FB6E18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F12BC669-138B-440D-B359-56D8FAC1C9BF}"/>
  </w:font>
  <w:font w:name="华文中宋">
    <w:panose1 w:val="02010600040101010101"/>
    <w:charset w:val="86"/>
    <w:family w:val="auto"/>
    <w:pitch w:val="default"/>
    <w:sig w:usb0="00000287" w:usb1="080F0000" w:usb2="00000000" w:usb3="00000000" w:csb0="0004009F" w:csb1="DFD70000"/>
    <w:embedRegular r:id="rId4" w:fontKey="{A10E677D-F248-4833-8C07-DFD0D6987E47}"/>
  </w:font>
  <w:font w:name="方正小标宋_GBK">
    <w:panose1 w:val="02000000000000000000"/>
    <w:charset w:val="86"/>
    <w:family w:val="script"/>
    <w:pitch w:val="default"/>
    <w:sig w:usb0="A00002BF" w:usb1="38CF7CFA" w:usb2="00082016" w:usb3="00000000" w:csb0="00040001" w:csb1="00000000"/>
    <w:embedRegular r:id="rId5" w:fontKey="{36BE8803-69D7-446C-AD7E-20EE2DCD9697}"/>
  </w:font>
  <w:font w:name="仿宋_GB2312">
    <w:panose1 w:val="02010609030101010101"/>
    <w:charset w:val="86"/>
    <w:family w:val="modern"/>
    <w:pitch w:val="default"/>
    <w:sig w:usb0="00000001" w:usb1="080E0000" w:usb2="00000000" w:usb3="00000000" w:csb0="00040000" w:csb1="00000000"/>
    <w:embedRegular r:id="rId6" w:fontKey="{709567EA-50F1-4755-A718-173B16475EAC}"/>
  </w:font>
  <w:font w:name="楷体">
    <w:panose1 w:val="02010609060101010101"/>
    <w:charset w:val="86"/>
    <w:family w:val="modern"/>
    <w:pitch w:val="default"/>
    <w:sig w:usb0="800002BF" w:usb1="38CF7CFA" w:usb2="00000016" w:usb3="00000000" w:csb0="00040001" w:csb1="00000000"/>
    <w:embedRegular r:id="rId7" w:fontKey="{7E1F41B2-C30E-4674-9A71-12AEE085892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171E226A">
        <w:pPr>
          <w:pStyle w:val="12"/>
          <w:jc w:val="center"/>
        </w:pPr>
        <w:r>
          <w:fldChar w:fldCharType="begin"/>
        </w:r>
        <w:r>
          <w:instrText xml:space="preserve">PAGE   \* MERGEFORMAT</w:instrText>
        </w:r>
        <w:r>
          <w:fldChar w:fldCharType="separate"/>
        </w:r>
        <w:r>
          <w:rPr>
            <w:lang w:val="zh-CN"/>
          </w:rPr>
          <w:t>2</w:t>
        </w:r>
        <w:r>
          <w:fldChar w:fldCharType="end"/>
        </w:r>
      </w:p>
    </w:sdtContent>
  </w:sdt>
  <w:p w14:paraId="39C8DE17">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CA6457"/>
    <w:rsid w:val="00056465"/>
    <w:rsid w:val="00102DFF"/>
    <w:rsid w:val="0012073C"/>
    <w:rsid w:val="00121AE4"/>
    <w:rsid w:val="00146AAD"/>
    <w:rsid w:val="00151FA7"/>
    <w:rsid w:val="001B3A40"/>
    <w:rsid w:val="00291BC0"/>
    <w:rsid w:val="00311DBE"/>
    <w:rsid w:val="004366A8"/>
    <w:rsid w:val="00502BA7"/>
    <w:rsid w:val="005162F1"/>
    <w:rsid w:val="00535153"/>
    <w:rsid w:val="00554F82"/>
    <w:rsid w:val="0056390D"/>
    <w:rsid w:val="005719B0"/>
    <w:rsid w:val="005D10D6"/>
    <w:rsid w:val="00855E3A"/>
    <w:rsid w:val="0091457F"/>
    <w:rsid w:val="00922CB9"/>
    <w:rsid w:val="009A0637"/>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856517C"/>
    <w:rsid w:val="0BFB189F"/>
    <w:rsid w:val="0C224FA9"/>
    <w:rsid w:val="11BD75F7"/>
    <w:rsid w:val="13BE561A"/>
    <w:rsid w:val="15392994"/>
    <w:rsid w:val="167A4B91"/>
    <w:rsid w:val="18FE139B"/>
    <w:rsid w:val="3029612C"/>
    <w:rsid w:val="32A221C5"/>
    <w:rsid w:val="33F20F2A"/>
    <w:rsid w:val="34C44675"/>
    <w:rsid w:val="3B5B5607"/>
    <w:rsid w:val="3CE21B3C"/>
    <w:rsid w:val="4D2606A1"/>
    <w:rsid w:val="51830480"/>
    <w:rsid w:val="53A616BE"/>
    <w:rsid w:val="54662BFB"/>
    <w:rsid w:val="62051CA5"/>
    <w:rsid w:val="6C3A69EF"/>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Balloon Text"/>
    <w:basedOn w:val="1"/>
    <w:link w:val="45"/>
    <w:semiHidden/>
    <w:unhideWhenUsed/>
    <w:uiPriority w:val="99"/>
    <w:rPr>
      <w:sz w:val="18"/>
      <w:szCs w:val="18"/>
    </w:rPr>
  </w:style>
  <w:style w:type="paragraph" w:styleId="12">
    <w:name w:val="footer"/>
    <w:basedOn w:val="1"/>
    <w:link w:val="44"/>
    <w:unhideWhenUsed/>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Char"/>
    <w:basedOn w:val="17"/>
    <w:link w:val="2"/>
    <w:qFormat/>
    <w:uiPriority w:val="9"/>
    <w:rPr>
      <w:rFonts w:asciiTheme="majorHAnsi" w:hAnsiTheme="majorHAnsi" w:eastAsiaTheme="majorEastAsia"/>
      <w:b/>
      <w:bCs/>
      <w:kern w:val="32"/>
      <w:sz w:val="32"/>
      <w:szCs w:val="32"/>
    </w:rPr>
  </w:style>
  <w:style w:type="character" w:customStyle="1" w:styleId="21">
    <w:name w:val="标题 2 Char"/>
    <w:basedOn w:val="17"/>
    <w:link w:val="3"/>
    <w:semiHidden/>
    <w:qFormat/>
    <w:uiPriority w:val="9"/>
    <w:rPr>
      <w:rFonts w:asciiTheme="majorHAnsi" w:hAnsiTheme="majorHAnsi" w:eastAsiaTheme="majorEastAsia"/>
      <w:b/>
      <w:bCs/>
      <w:i/>
      <w:iCs/>
      <w:sz w:val="28"/>
      <w:szCs w:val="28"/>
    </w:rPr>
  </w:style>
  <w:style w:type="character" w:customStyle="1" w:styleId="22">
    <w:name w:val="标题 3 Char"/>
    <w:basedOn w:val="17"/>
    <w:link w:val="4"/>
    <w:semiHidden/>
    <w:qFormat/>
    <w:uiPriority w:val="9"/>
    <w:rPr>
      <w:rFonts w:asciiTheme="majorHAnsi" w:hAnsiTheme="majorHAnsi" w:eastAsiaTheme="majorEastAsia"/>
      <w:b/>
      <w:bCs/>
      <w:sz w:val="26"/>
      <w:szCs w:val="26"/>
    </w:rPr>
  </w:style>
  <w:style w:type="character" w:customStyle="1" w:styleId="23">
    <w:name w:val="标题 4 Char"/>
    <w:basedOn w:val="17"/>
    <w:link w:val="5"/>
    <w:semiHidden/>
    <w:qFormat/>
    <w:uiPriority w:val="9"/>
    <w:rPr>
      <w:b/>
      <w:bCs/>
      <w:sz w:val="28"/>
      <w:szCs w:val="28"/>
    </w:rPr>
  </w:style>
  <w:style w:type="character" w:customStyle="1" w:styleId="24">
    <w:name w:val="标题 5 Char"/>
    <w:basedOn w:val="17"/>
    <w:link w:val="6"/>
    <w:semiHidden/>
    <w:qFormat/>
    <w:uiPriority w:val="9"/>
    <w:rPr>
      <w:b/>
      <w:bCs/>
      <w:i/>
      <w:iCs/>
      <w:sz w:val="26"/>
      <w:szCs w:val="26"/>
    </w:rPr>
  </w:style>
  <w:style w:type="character" w:customStyle="1" w:styleId="25">
    <w:name w:val="标题 6 Char"/>
    <w:basedOn w:val="17"/>
    <w:link w:val="7"/>
    <w:semiHidden/>
    <w:qFormat/>
    <w:uiPriority w:val="9"/>
    <w:rPr>
      <w:b/>
      <w:bCs/>
    </w:rPr>
  </w:style>
  <w:style w:type="character" w:customStyle="1" w:styleId="26">
    <w:name w:val="标题 7 Char"/>
    <w:basedOn w:val="17"/>
    <w:link w:val="8"/>
    <w:semiHidden/>
    <w:qFormat/>
    <w:uiPriority w:val="9"/>
    <w:rPr>
      <w:sz w:val="24"/>
      <w:szCs w:val="24"/>
    </w:rPr>
  </w:style>
  <w:style w:type="character" w:customStyle="1" w:styleId="27">
    <w:name w:val="标题 8 Char"/>
    <w:basedOn w:val="17"/>
    <w:link w:val="9"/>
    <w:semiHidden/>
    <w:qFormat/>
    <w:uiPriority w:val="9"/>
    <w:rPr>
      <w:i/>
      <w:iCs/>
      <w:sz w:val="24"/>
      <w:szCs w:val="24"/>
    </w:rPr>
  </w:style>
  <w:style w:type="character" w:customStyle="1" w:styleId="28">
    <w:name w:val="标题 9 Char"/>
    <w:basedOn w:val="17"/>
    <w:link w:val="10"/>
    <w:semiHidden/>
    <w:qFormat/>
    <w:uiPriority w:val="9"/>
    <w:rPr>
      <w:rFonts w:asciiTheme="majorHAnsi" w:hAnsiTheme="majorHAnsi" w:eastAsiaTheme="majorEastAsia"/>
    </w:rPr>
  </w:style>
  <w:style w:type="character" w:customStyle="1" w:styleId="29">
    <w:name w:val="标题 Char"/>
    <w:basedOn w:val="17"/>
    <w:link w:val="15"/>
    <w:qFormat/>
    <w:uiPriority w:val="10"/>
    <w:rPr>
      <w:rFonts w:asciiTheme="majorHAnsi" w:hAnsiTheme="majorHAnsi" w:eastAsiaTheme="majorEastAsia"/>
      <w:b/>
      <w:bCs/>
      <w:kern w:val="28"/>
      <w:sz w:val="32"/>
      <w:szCs w:val="32"/>
    </w:rPr>
  </w:style>
  <w:style w:type="character" w:customStyle="1" w:styleId="30">
    <w:name w:val="副标题 Char"/>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Char"/>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Char"/>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Char"/>
    <w:basedOn w:val="17"/>
    <w:link w:val="13"/>
    <w:qFormat/>
    <w:uiPriority w:val="99"/>
    <w:rPr>
      <w:rFonts w:ascii="Calibri" w:hAnsi="Calibri" w:eastAsia="宋体"/>
      <w:kern w:val="2"/>
      <w:sz w:val="18"/>
      <w:szCs w:val="18"/>
    </w:rPr>
  </w:style>
  <w:style w:type="character" w:customStyle="1" w:styleId="44">
    <w:name w:val="页脚 Char"/>
    <w:basedOn w:val="17"/>
    <w:link w:val="12"/>
    <w:qFormat/>
    <w:uiPriority w:val="99"/>
    <w:rPr>
      <w:rFonts w:ascii="Calibri" w:hAnsi="Calibri" w:eastAsia="宋体"/>
      <w:kern w:val="2"/>
      <w:sz w:val="18"/>
      <w:szCs w:val="18"/>
    </w:rPr>
  </w:style>
  <w:style w:type="character" w:customStyle="1" w:styleId="45">
    <w:name w:val="批注框文本 Char"/>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91</Words>
  <Characters>99</Characters>
  <Lines>4</Lines>
  <Paragraphs>1</Paragraphs>
  <TotalTime>3</TotalTime>
  <ScaleCrop>false</ScaleCrop>
  <LinksUpToDate>false</LinksUpToDate>
  <CharactersWithSpaces>111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2026-09-24T03:46:48Z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C734C92AAAF24344A0E4232D8EB3359B</vt:lpwstr>
  </property>
  <property fmtid="{D5CDD505-2E9C-101B-9397-08002B2CF9AE}" pid="4" name="KSOTemplateDocerSaveRecord">
    <vt:lpwstr>eyJoZGlkIjoiM2Q5NDlmNDc3N2ZkYzk3ZGJmOTUwNTM0Mzc5MTVlNDMiLCJ1c2VySWQiOiIzMjQ5NjUzODcifQ==</vt:lpwstr>
  </property>
</Properties>
</file>