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C40E8">
      <w:pPr>
        <w:spacing w:line="540" w:lineRule="exact"/>
        <w:jc w:val="left"/>
        <w:rPr>
          <w:rFonts w:ascii="仿宋" w:hAnsi="仿宋" w:eastAsia="仿宋" w:cs="宋体"/>
          <w:color w:val="auto"/>
          <w:kern w:val="0"/>
          <w:sz w:val="32"/>
          <w:szCs w:val="32"/>
        </w:rPr>
      </w:pPr>
      <w:bookmarkStart w:id="0" w:name="_GoBack"/>
      <w:bookmarkEnd w:id="0"/>
      <w:r>
        <w:rPr>
          <w:rFonts w:hint="eastAsia" w:ascii="仿宋" w:hAnsi="仿宋" w:eastAsia="仿宋" w:cs="宋体"/>
          <w:color w:val="auto"/>
          <w:kern w:val="0"/>
          <w:sz w:val="32"/>
          <w:szCs w:val="32"/>
        </w:rPr>
        <w:t>附件2：</w:t>
      </w:r>
    </w:p>
    <w:p w14:paraId="7780425B">
      <w:pPr>
        <w:spacing w:line="540" w:lineRule="exact"/>
        <w:jc w:val="center"/>
        <w:rPr>
          <w:rFonts w:ascii="华文中宋" w:hAnsi="华文中宋" w:eastAsia="华文中宋" w:cs="宋体"/>
          <w:b/>
          <w:color w:val="auto"/>
          <w:kern w:val="0"/>
          <w:sz w:val="52"/>
          <w:szCs w:val="52"/>
        </w:rPr>
      </w:pPr>
    </w:p>
    <w:p w14:paraId="5E8E05C0">
      <w:pPr>
        <w:spacing w:line="540" w:lineRule="exact"/>
        <w:jc w:val="center"/>
        <w:rPr>
          <w:rFonts w:ascii="华文中宋" w:hAnsi="华文中宋" w:eastAsia="华文中宋" w:cs="宋体"/>
          <w:b/>
          <w:color w:val="auto"/>
          <w:kern w:val="0"/>
          <w:sz w:val="52"/>
          <w:szCs w:val="52"/>
        </w:rPr>
      </w:pPr>
    </w:p>
    <w:p w14:paraId="3D1F2032">
      <w:pPr>
        <w:spacing w:line="540" w:lineRule="exact"/>
        <w:jc w:val="center"/>
        <w:rPr>
          <w:rFonts w:ascii="华文中宋" w:hAnsi="华文中宋" w:eastAsia="华文中宋" w:cs="宋体"/>
          <w:b/>
          <w:color w:val="auto"/>
          <w:kern w:val="0"/>
          <w:sz w:val="52"/>
          <w:szCs w:val="52"/>
        </w:rPr>
      </w:pPr>
    </w:p>
    <w:p w14:paraId="336B680A">
      <w:pPr>
        <w:spacing w:line="540" w:lineRule="exact"/>
        <w:jc w:val="center"/>
        <w:rPr>
          <w:rFonts w:ascii="华文中宋" w:hAnsi="华文中宋" w:eastAsia="华文中宋" w:cs="宋体"/>
          <w:b/>
          <w:color w:val="auto"/>
          <w:kern w:val="0"/>
          <w:sz w:val="52"/>
          <w:szCs w:val="52"/>
        </w:rPr>
      </w:pPr>
    </w:p>
    <w:p w14:paraId="059E398D">
      <w:pPr>
        <w:spacing w:line="540" w:lineRule="exact"/>
        <w:jc w:val="center"/>
        <w:rPr>
          <w:rFonts w:ascii="华文中宋" w:hAnsi="华文中宋" w:eastAsia="华文中宋" w:cs="宋体"/>
          <w:b/>
          <w:color w:val="auto"/>
          <w:kern w:val="0"/>
          <w:sz w:val="52"/>
          <w:szCs w:val="52"/>
        </w:rPr>
      </w:pPr>
    </w:p>
    <w:p w14:paraId="27A74E46">
      <w:pPr>
        <w:spacing w:line="540" w:lineRule="exact"/>
        <w:jc w:val="center"/>
        <w:rPr>
          <w:rFonts w:ascii="华文中宋" w:hAnsi="华文中宋" w:eastAsia="华文中宋" w:cs="宋体"/>
          <w:b/>
          <w:color w:val="auto"/>
          <w:kern w:val="0"/>
          <w:sz w:val="52"/>
          <w:szCs w:val="52"/>
        </w:rPr>
      </w:pPr>
    </w:p>
    <w:p w14:paraId="7F4B9328">
      <w:pPr>
        <w:spacing w:line="540" w:lineRule="exact"/>
        <w:jc w:val="center"/>
        <w:rPr>
          <w:rFonts w:ascii="方正小标宋_GBK" w:hAnsi="华文中宋" w:eastAsia="方正小标宋_GBK" w:cs="宋体"/>
          <w:b/>
          <w:color w:val="auto"/>
          <w:kern w:val="0"/>
          <w:sz w:val="48"/>
          <w:szCs w:val="48"/>
        </w:rPr>
      </w:pPr>
      <w:r>
        <w:rPr>
          <w:rFonts w:hint="eastAsia" w:ascii="方正小标宋_GBK" w:hAnsi="华文中宋" w:eastAsia="方正小标宋_GBK" w:cs="宋体"/>
          <w:b/>
          <w:color w:val="auto"/>
          <w:kern w:val="0"/>
          <w:sz w:val="48"/>
          <w:szCs w:val="48"/>
        </w:rPr>
        <w:t>项目支出绩效自评报告</w:t>
      </w:r>
    </w:p>
    <w:p w14:paraId="36DA73C2">
      <w:pPr>
        <w:spacing w:line="540" w:lineRule="exact"/>
        <w:jc w:val="center"/>
        <w:rPr>
          <w:rFonts w:ascii="华文中宋" w:hAnsi="华文中宋" w:eastAsia="华文中宋" w:cs="宋体"/>
          <w:b/>
          <w:color w:val="auto"/>
          <w:kern w:val="0"/>
          <w:sz w:val="52"/>
          <w:szCs w:val="52"/>
        </w:rPr>
      </w:pPr>
    </w:p>
    <w:p w14:paraId="5EFD319E">
      <w:pPr>
        <w:spacing w:line="540" w:lineRule="exact"/>
        <w:jc w:val="center"/>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r>
        <w:rPr>
          <w:rStyle w:val="18"/>
          <w:rFonts w:hint="eastAsia" w:ascii="楷体" w:hAnsi="楷体" w:eastAsia="楷体"/>
          <w:color w:val="auto"/>
          <w:spacing w:val="-4"/>
          <w:sz w:val="32"/>
          <w:szCs w:val="32"/>
        </w:rPr>
        <w:t>2023</w:t>
      </w:r>
      <w:r>
        <w:rPr>
          <w:rFonts w:hint="eastAsia" w:hAnsi="宋体" w:eastAsia="仿宋_GB2312" w:cs="宋体"/>
          <w:color w:val="auto"/>
          <w:kern w:val="0"/>
          <w:sz w:val="36"/>
          <w:szCs w:val="36"/>
        </w:rPr>
        <w:t xml:space="preserve">  年度）</w:t>
      </w:r>
    </w:p>
    <w:p w14:paraId="1024B4F5">
      <w:pPr>
        <w:spacing w:line="540" w:lineRule="exact"/>
        <w:jc w:val="center"/>
        <w:rPr>
          <w:rFonts w:hAnsi="宋体" w:eastAsia="仿宋_GB2312" w:cs="宋体"/>
          <w:color w:val="auto"/>
          <w:kern w:val="0"/>
          <w:sz w:val="30"/>
          <w:szCs w:val="30"/>
        </w:rPr>
      </w:pPr>
    </w:p>
    <w:p w14:paraId="721F851D">
      <w:pPr>
        <w:spacing w:line="540" w:lineRule="exact"/>
        <w:jc w:val="center"/>
        <w:rPr>
          <w:rFonts w:hAnsi="宋体" w:eastAsia="仿宋_GB2312" w:cs="宋体"/>
          <w:color w:val="auto"/>
          <w:kern w:val="0"/>
          <w:sz w:val="30"/>
          <w:szCs w:val="30"/>
        </w:rPr>
      </w:pPr>
    </w:p>
    <w:p w14:paraId="31EF50E7">
      <w:pPr>
        <w:spacing w:line="540" w:lineRule="exact"/>
        <w:jc w:val="center"/>
        <w:rPr>
          <w:rFonts w:hAnsi="宋体" w:eastAsia="仿宋_GB2312" w:cs="宋体"/>
          <w:color w:val="auto"/>
          <w:kern w:val="0"/>
          <w:sz w:val="30"/>
          <w:szCs w:val="30"/>
        </w:rPr>
      </w:pPr>
    </w:p>
    <w:p w14:paraId="52DFDF38">
      <w:pPr>
        <w:spacing w:line="540" w:lineRule="exact"/>
        <w:jc w:val="center"/>
        <w:rPr>
          <w:rFonts w:hAnsi="宋体" w:eastAsia="仿宋_GB2312" w:cs="宋体"/>
          <w:color w:val="auto"/>
          <w:kern w:val="0"/>
          <w:sz w:val="30"/>
          <w:szCs w:val="30"/>
        </w:rPr>
      </w:pPr>
    </w:p>
    <w:p w14:paraId="3E181BDC">
      <w:pPr>
        <w:spacing w:line="540" w:lineRule="exact"/>
        <w:jc w:val="center"/>
        <w:rPr>
          <w:rFonts w:hAnsi="宋体" w:eastAsia="仿宋_GB2312" w:cs="宋体"/>
          <w:color w:val="auto"/>
          <w:kern w:val="0"/>
          <w:sz w:val="30"/>
          <w:szCs w:val="30"/>
        </w:rPr>
      </w:pPr>
    </w:p>
    <w:p w14:paraId="1017FF5F">
      <w:pPr>
        <w:spacing w:line="540" w:lineRule="exact"/>
        <w:jc w:val="center"/>
        <w:rPr>
          <w:rFonts w:hAnsi="宋体" w:eastAsia="仿宋_GB2312" w:cs="宋体"/>
          <w:color w:val="auto"/>
          <w:kern w:val="0"/>
          <w:sz w:val="30"/>
          <w:szCs w:val="30"/>
        </w:rPr>
      </w:pPr>
    </w:p>
    <w:p w14:paraId="7AE3E0D3">
      <w:pPr>
        <w:spacing w:line="540" w:lineRule="exact"/>
        <w:rPr>
          <w:rFonts w:hAnsi="宋体" w:eastAsia="仿宋_GB2312" w:cs="宋体"/>
          <w:color w:val="auto"/>
          <w:kern w:val="0"/>
          <w:sz w:val="30"/>
          <w:szCs w:val="30"/>
        </w:rPr>
      </w:pPr>
    </w:p>
    <w:p w14:paraId="60495CB9">
      <w:pPr>
        <w:spacing w:line="700" w:lineRule="exact"/>
        <w:jc w:val="left"/>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p>
    <w:p w14:paraId="36DE001A">
      <w:pPr>
        <w:spacing w:line="700" w:lineRule="exact"/>
        <w:ind w:firstLine="900" w:firstLineChars="250"/>
        <w:jc w:val="left"/>
        <w:rPr>
          <w:rFonts w:hAnsi="宋体" w:eastAsia="仿宋_GB2312" w:cs="宋体"/>
          <w:color w:val="auto"/>
          <w:kern w:val="0"/>
          <w:sz w:val="36"/>
          <w:szCs w:val="36"/>
        </w:rPr>
      </w:pPr>
      <w:r>
        <w:rPr>
          <w:rFonts w:hint="eastAsia" w:hAnsi="宋体" w:eastAsia="仿宋_GB2312" w:cs="宋体"/>
          <w:color w:val="auto"/>
          <w:kern w:val="0"/>
          <w:sz w:val="36"/>
          <w:szCs w:val="36"/>
        </w:rPr>
        <w:t>项目名称：</w:t>
      </w:r>
      <w:r>
        <w:rPr>
          <w:rStyle w:val="18"/>
          <w:rFonts w:hint="eastAsia" w:ascii="楷体" w:hAnsi="楷体" w:eastAsia="楷体"/>
          <w:color w:val="auto"/>
          <w:spacing w:val="-4"/>
          <w:sz w:val="32"/>
          <w:szCs w:val="32"/>
        </w:rPr>
        <w:t>12345云呼叫中心平台技术服务运维费</w:t>
      </w:r>
    </w:p>
    <w:p w14:paraId="1BFB85FC">
      <w:pPr>
        <w:spacing w:line="540" w:lineRule="exact"/>
        <w:ind w:firstLine="567"/>
        <w:rPr>
          <w:rFonts w:ascii="楷体" w:hAnsi="楷体" w:eastAsia="楷体"/>
          <w:b/>
          <w:bCs/>
          <w:color w:val="auto"/>
          <w:spacing w:val="-4"/>
          <w:sz w:val="32"/>
          <w:szCs w:val="32"/>
        </w:rPr>
      </w:pPr>
      <w:r>
        <w:rPr>
          <w:rFonts w:hint="eastAsia" w:hAnsi="宋体" w:eastAsia="仿宋_GB2312" w:cs="宋体"/>
          <w:color w:val="auto"/>
          <w:kern w:val="0"/>
          <w:sz w:val="36"/>
          <w:szCs w:val="36"/>
        </w:rPr>
        <w:t xml:space="preserve">  实施单位（公章）：</w:t>
      </w:r>
      <w:r>
        <w:rPr>
          <w:rStyle w:val="18"/>
          <w:rFonts w:hint="eastAsia" w:ascii="楷体" w:hAnsi="楷体" w:eastAsia="楷体"/>
          <w:color w:val="auto"/>
          <w:spacing w:val="-4"/>
          <w:sz w:val="28"/>
          <w:szCs w:val="28"/>
        </w:rPr>
        <w:t>昌吉回族自治州政务服务和公共资源交易管理局</w:t>
      </w:r>
    </w:p>
    <w:p w14:paraId="2163FB3D">
      <w:pPr>
        <w:spacing w:line="540" w:lineRule="exact"/>
        <w:ind w:firstLine="900" w:firstLineChars="250"/>
        <w:rPr>
          <w:rFonts w:ascii="楷体" w:hAnsi="楷体" w:eastAsia="楷体"/>
          <w:b/>
          <w:bCs/>
          <w:color w:val="auto"/>
          <w:spacing w:val="-4"/>
          <w:sz w:val="28"/>
          <w:szCs w:val="28"/>
        </w:rPr>
      </w:pPr>
      <w:r>
        <w:rPr>
          <w:rFonts w:hint="eastAsia" w:hAnsi="宋体" w:eastAsia="仿宋_GB2312" w:cs="宋体"/>
          <w:color w:val="auto"/>
          <w:kern w:val="0"/>
          <w:sz w:val="36"/>
          <w:szCs w:val="36"/>
        </w:rPr>
        <w:t>主管部门（公章）：</w:t>
      </w:r>
      <w:r>
        <w:rPr>
          <w:rStyle w:val="18"/>
          <w:rFonts w:hint="eastAsia" w:ascii="楷体" w:hAnsi="楷体" w:eastAsia="楷体"/>
          <w:color w:val="auto"/>
          <w:spacing w:val="-4"/>
          <w:sz w:val="28"/>
          <w:szCs w:val="28"/>
        </w:rPr>
        <w:t>昌吉回族自治州政务服务和公共资源交易管理局</w:t>
      </w:r>
    </w:p>
    <w:p w14:paraId="673616F2">
      <w:pPr>
        <w:spacing w:line="540" w:lineRule="exact"/>
        <w:ind w:firstLine="900" w:firstLineChars="250"/>
        <w:rPr>
          <w:rFonts w:ascii="楷体" w:hAnsi="楷体" w:eastAsia="楷体"/>
          <w:b/>
          <w:bCs/>
          <w:color w:val="auto"/>
          <w:spacing w:val="-4"/>
          <w:sz w:val="32"/>
          <w:szCs w:val="32"/>
        </w:rPr>
      </w:pPr>
      <w:r>
        <w:rPr>
          <w:rFonts w:hint="eastAsia" w:hAnsi="宋体" w:eastAsia="仿宋_GB2312" w:cs="宋体"/>
          <w:color w:val="auto"/>
          <w:kern w:val="0"/>
          <w:sz w:val="36"/>
          <w:szCs w:val="36"/>
        </w:rPr>
        <w:t>项目负责人（签章）：</w:t>
      </w:r>
      <w:r>
        <w:rPr>
          <w:rStyle w:val="18"/>
          <w:rFonts w:hint="eastAsia" w:ascii="楷体" w:hAnsi="楷体" w:eastAsia="楷体"/>
          <w:color w:val="auto"/>
          <w:spacing w:val="-4"/>
          <w:sz w:val="32"/>
          <w:szCs w:val="32"/>
        </w:rPr>
        <w:t>张娟娟</w:t>
      </w:r>
    </w:p>
    <w:p w14:paraId="07E1D916">
      <w:pPr>
        <w:spacing w:line="540" w:lineRule="exact"/>
        <w:ind w:left="273" w:firstLine="567"/>
        <w:rPr>
          <w:rStyle w:val="18"/>
          <w:rFonts w:ascii="楷体" w:hAnsi="楷体" w:eastAsia="楷体"/>
          <w:color w:val="auto"/>
          <w:spacing w:val="-4"/>
          <w:sz w:val="32"/>
          <w:szCs w:val="32"/>
        </w:rPr>
      </w:pPr>
      <w:r>
        <w:rPr>
          <w:rFonts w:hint="eastAsia" w:hAnsi="宋体" w:eastAsia="仿宋_GB2312" w:cs="宋体"/>
          <w:color w:val="auto"/>
          <w:kern w:val="0"/>
          <w:sz w:val="36"/>
          <w:szCs w:val="36"/>
        </w:rPr>
        <w:t>填报时间：</w:t>
      </w:r>
      <w:r>
        <w:rPr>
          <w:rStyle w:val="18"/>
          <w:rFonts w:hint="eastAsia" w:ascii="楷体" w:hAnsi="楷体" w:eastAsia="楷体"/>
          <w:color w:val="auto"/>
          <w:spacing w:val="-4"/>
          <w:sz w:val="32"/>
          <w:szCs w:val="32"/>
        </w:rPr>
        <w:t>2024年04月12日</w:t>
      </w:r>
    </w:p>
    <w:p w14:paraId="5F2307E2">
      <w:pPr>
        <w:spacing w:line="700" w:lineRule="exact"/>
        <w:ind w:firstLine="708" w:firstLineChars="236"/>
        <w:jc w:val="left"/>
        <w:rPr>
          <w:rFonts w:hAnsi="宋体" w:eastAsia="仿宋_GB2312" w:cs="宋体"/>
          <w:color w:val="auto"/>
          <w:kern w:val="0"/>
          <w:sz w:val="30"/>
          <w:szCs w:val="30"/>
        </w:rPr>
      </w:pPr>
    </w:p>
    <w:p w14:paraId="4504FD9E">
      <w:pPr>
        <w:spacing w:line="540" w:lineRule="exact"/>
        <w:rPr>
          <w:rStyle w:val="18"/>
          <w:rFonts w:ascii="黑体" w:hAnsi="黑体" w:eastAsia="黑体"/>
          <w:b w:val="0"/>
          <w:color w:val="auto"/>
          <w:spacing w:val="-4"/>
          <w:sz w:val="32"/>
          <w:szCs w:val="32"/>
        </w:rPr>
      </w:pPr>
    </w:p>
    <w:p w14:paraId="5AA88A80">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一、基本情况</w:t>
      </w:r>
    </w:p>
    <w:p w14:paraId="4BBC3A0B">
      <w:pPr>
        <w:spacing w:line="540" w:lineRule="exact"/>
        <w:ind w:firstLine="567"/>
        <w:rPr>
          <w:rStyle w:val="18"/>
          <w:rFonts w:hint="default" w:ascii="楷体" w:hAnsi="楷体" w:eastAsia="楷体"/>
          <w:color w:val="auto"/>
          <w:spacing w:val="-4"/>
          <w:sz w:val="32"/>
          <w:szCs w:val="32"/>
          <w:lang w:val="en-US" w:eastAsia="zh-CN"/>
        </w:rPr>
      </w:pPr>
      <w:r>
        <w:rPr>
          <w:rStyle w:val="18"/>
          <w:rFonts w:hint="eastAsia" w:ascii="楷体" w:hAnsi="楷体" w:eastAsia="楷体"/>
          <w:color w:val="auto"/>
          <w:spacing w:val="-4"/>
          <w:sz w:val="32"/>
          <w:szCs w:val="32"/>
        </w:rPr>
        <w:t>（一）项目概况</w:t>
      </w:r>
      <w:r>
        <w:rPr>
          <w:rStyle w:val="18"/>
          <w:rFonts w:hint="eastAsia" w:ascii="楷体" w:hAnsi="楷体" w:eastAsia="楷体"/>
          <w:color w:val="auto"/>
          <w:spacing w:val="-4"/>
          <w:sz w:val="32"/>
          <w:szCs w:val="32"/>
          <w:lang w:eastAsia="zh-CN"/>
        </w:rPr>
        <w:t>。</w:t>
      </w:r>
    </w:p>
    <w:p w14:paraId="563202CB">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1.项目背景</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根据《印发关于整合建设全区12345在线政务服务平台的工作方案的通知》 (新政办函〔2020〕) 38号)精神，以“一号受理、互联互通、方便群众、服务决策”为目标，推动各地、各部门政务服务类咨询、投诉热线横向整合、纵向对接，建设全区统一的12345在线政务服务平台，畅通联系群众渠道，回应群众关切，切实解决政务服务热线号码过多、接通率低、缺乏统管理等问题，进步提高人民群众获得感和满意度。为认真贯彻落实《国务院办公厅关于进一步优化地方政务服务热线的指导意见》（国办〔2020〕)53号），《关于进一步优化政务服务便民热线的工作方案》（新政办发〔2021〕)43号）和《昌吉州进一步优化政务服务便民热线建立“接诉即办”机制的实施方案》（昌州政办发〔2021〕)58号）要求，加快推进除110、119、120、122等紧急热线外的政务服务便民热线归并工作，持续优化营商环境，以一个号码服务企业和群众为目标，提供“7×24小时”全天候人工服务，进一步优化工作流程和资源配置，不断深化“接诉即办”改革，健全工作流程，确保企业和群众反映的问题和合理诉求及时得到处置和办理，使政务服务便民热线接得更快、分得更准、办得更实，打造便捷、高效、规范、智慧的政务服务“总客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2.主要内容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（1）项目名称：12345云呼叫中心平台技术服务运维费项目（以下简称“该项目”或“项目”）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主要内容：为认真贯彻落实《国务院办公厅关于进一步优化地方政务服务热线的指导意见》（国办〔2020〕)53号），《关于进一步优化政务服务便民热线的工作方案》（新政办发〔2021〕)43号）和《昌吉州进一步优化政务服务便民热线建立“接诉即办”机制的实施方案》（昌州政办发〔2021〕)58号）要求，加快推进除110、119、120、122等紧急热线外的政务服务便民热线归并工作，持续优化营商环境，以一个号码服务企业和群众为目标，提供“7×24小时”全天候人工服务，进一步优化工作流程和资源配置，不断深化“接诉即办”改革，健全工作流程，确保企业和群众反映的问题和合理诉求及时得到处置和办理，使政务服务便民热线接得更快、分得更准、办得更实，打造便捷、高效、规范、智慧的政务服务“总客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3.实施情况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实施主体：昌吉州政务服务和公共资源交易中心。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实施时间：本项目实施周期为2023年1月-2023年12月。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实施情况：本项目于2023年1月开始实施，</w:t>
      </w:r>
      <w:r>
        <w:rPr>
          <w:rStyle w:val="18"/>
          <w:rFonts w:hint="eastAsia" w:ascii="楷体" w:hAnsi="楷体" w:eastAsia="楷体"/>
          <w:b w:val="0"/>
          <w:bCs w:val="0"/>
          <w:color w:val="auto"/>
          <w:spacing w:val="-4"/>
          <w:sz w:val="32"/>
          <w:szCs w:val="32"/>
          <w:lang w:eastAsia="zh-CN"/>
        </w:rPr>
        <w:t>截至</w:t>
      </w:r>
      <w:r>
        <w:rPr>
          <w:rStyle w:val="18"/>
          <w:rFonts w:hint="eastAsia" w:ascii="楷体" w:hAnsi="楷体" w:eastAsia="楷体"/>
          <w:b w:val="0"/>
          <w:bCs w:val="0"/>
          <w:color w:val="auto"/>
          <w:spacing w:val="-4"/>
          <w:sz w:val="32"/>
          <w:szCs w:val="32"/>
        </w:rPr>
        <w:t>2023年12月已全部完成，通过本项目的实施，以一个号码服务企业和群众为目标，提供“7×24小时”全天候人工服务，进一步优化工作流程和资源配置，不断深化“接诉即办”改革，健全工作流程，确保企业和群众反映的问题和合理诉求及时得到处置和办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4.项目实施主体</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（1）主要职能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负责对政府各部门进驻、委托事项办理的组织协调、监督管理和指导服务，对进驻窗口工作人员进行管理培训和日常考核，负责政务服务内容、办事程序、运行制度的修改、完善和解释工作。统筹管理州公共资源交易、协调对粗各类应进事项进场交易；会同相关职能部门制定公共资源交易的配套政策和制度规则；加强市场交易活动的现场监管。建设公共资源交易电子监察系统，强化交易过程的监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（2）机构设置情况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单位纳入2023年部门决算编制范围的有9个科室，分别是：办公室（组织人事科）、政务服务科、工程建设交易服务一科、工程建设交易服务二科、政府采购交易服务科、矿业权及产权交易服务科、信息科、“放管服”改革和优化营商环境督办科和12345政务服务便民热线受理中心9个科室。</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编制人数为34人，实有人数32人，其他人员0人，由养老保险基金发放养老金的离退休人员7人。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5.资金投入和使用情况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（1）项目资金安排落实、总投入等情况分析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本项目预算安排总额为239万元，资金来源为本级财政资金，其中：财政资金239万元，其他资金0万元，2023年实际收到预算资金239万元，预算资金到位率为100%。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（2）项目资金实际使用情况分析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截至2023年12月31日，本项目实际支付资金226.54万元，预算执行率94.79%。本项目资金主要用于支付保障热线服务费用209.62万元、平台租赁及运维费用14.38万元、短信费10万元、光纤费2.54万元。</w:t>
      </w:r>
    </w:p>
    <w:p w14:paraId="76FFD528">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（二）项目绩效目标</w:t>
      </w:r>
    </w:p>
    <w:p w14:paraId="414627DB">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1.总体目标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以一个号码服务企业和群众为目标，提供“7×24小时”全天候人工服务，进一步优化工作流程和资源配置，不断深化“接诉即办”改革，健全工作流程，确保企业和群众反映的问题和合理诉求及时得到处置和办理，使政务服务便民热线接得更快、分得更准、办得更实，打造便捷、高效、规范、智慧的政务服务“总客服”。维护平台数量1套，发放补助39人，发送短信285万条，提供光纤1条，确保企业和群众反映的问题和合理诉求及时得到处置和办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2.阶段性目标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（1）项目产出指标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①数量指标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“平台维护数量”指标，预期指标值为“等于1套”；</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“保障办公人数”指标，预期指标值为“大于等于39人”；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“发送短信”指标，预期指标值为“大于等于285万条”；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“提供光纤数量”指标，预期指标值为“等于1条”；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“热线服务天数”指标，预期指标值为“等于365天”；</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②质量指标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“服务质量达标率”指标，预期指标值为“大于等于90%”；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③时效指标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（2）项目成本指标指标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“保障热线服务成本”指标，预期指标值为“小于等于209.62万元”；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“平台租赁及运维成本”指标，预期指标值为“小于等于14.38万元”；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“短信费成本”指标，预期指标值为“小于等于10万元”；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“光纤费成本”指标，预期指标值为“小于等于5万元”；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③生态环境成本指标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“确保企业和群众反映的问题和合理诉求及时得到处置和办理”指标，预期指标值为“保障”；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“群众满意度”指标，预期指标值为“大于等于90%”。</w:t>
      </w:r>
    </w:p>
    <w:p w14:paraId="0ACA6175">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二、绩效评价工作开展情况</w:t>
      </w:r>
    </w:p>
    <w:p w14:paraId="6609F3DB">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（一）绩效评价目的、对象和范围</w:t>
      </w:r>
    </w:p>
    <w:p w14:paraId="39A14676">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1.绩效评价的目的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2.绩效评价对象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此次我单位根据《财政支出绩效评价管理暂行办法》（财预〔2020〕10号）文件要求实施评价工作，本次评价对象为12345云呼叫中心平台技术服务运维费项目，评价核心为项目资金、项目产出、项目效益。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3.绩效评价范围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4.绩效评价依据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(1)《中华人民共和国预算法》；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(2)《中共中央国务院关于全面实施预算绩效管理的意见》（中发〔2018〕34号）；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(3)《项目支出绩效评价管理办法》（财预〔2020〕10号）；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(4)《自治区财政支出绩效评价管理暂行办法》（新财预〔2018〕189号）；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(5)12345政务服务便民热线受理中心2023年工作总结。</w:t>
      </w:r>
    </w:p>
    <w:p w14:paraId="22D7E185">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（二）绩效评价原则、评价指标体系、评价方法、评价标准</w:t>
      </w:r>
    </w:p>
    <w:p w14:paraId="239B56DF">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（4）公开透明。绩效评价结果应依法依规公开，并自觉接受社会监督。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2.绩效评价指标体系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3.评价方法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color w:val="auto"/>
          <w:spacing w:val="-4"/>
          <w:sz w:val="32"/>
          <w:szCs w:val="32"/>
          <w:lang w:eastAsia="zh-CN"/>
        </w:rPr>
        <w:t>以及</w:t>
      </w:r>
      <w:r>
        <w:rPr>
          <w:rStyle w:val="18"/>
          <w:rFonts w:hint="eastAsia" w:ascii="楷体" w:hAnsi="楷体" w:eastAsia="楷体"/>
          <w:b w:val="0"/>
          <w:bCs w:val="0"/>
          <w:color w:val="auto"/>
          <w:spacing w:val="-4"/>
          <w:sz w:val="32"/>
          <w:szCs w:val="32"/>
        </w:rPr>
        <w:t>公众评判法。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4.评价标准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0303BE78">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（三）绩效评价工作过程</w:t>
      </w:r>
    </w:p>
    <w:p w14:paraId="1C16F07C">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1.前期准备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范凤娟（评价小组组长）：主要负责项目策划和监督，全面负责项目绩效评价办稿的最终质量，对评估人员出具的最终报告质量进行复核，确保评估结果的客观性；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张爱华（评价小组组员）：主要负责资料的收集，取证、数据统计分析；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董辉（评价小组组员）：主要负责主要负责项目报告的制定，指标的研判，数据分析及报告撰写。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2024年3月2日-3月10日，评价工作进入实施阶段。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质量管理、项目建设等相关资料，完成绩效评价内容所需的印证资料整理，所有数据经核查后统计汇总。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经调研了解，该项目主要受益群体包括人民群众。我们根据绩效评价目标和绩效指标体系，设计满意度调查问卷进行问卷调查，人民群众受益对象共选取样本50人，共发放问卷50份，最终收回50份。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3.分析评价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2024年3月11日-3月20日，评价小组按照绩效评价的原则和规范，对取得的资料进行审查核实，对采集的数据进行分析，按照绩效评价指标评分表逐项进行打分、分析、汇总各方评价结果。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4.撰写与提交评价报告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2024年3月20日-3月31日，评价小组撰写绩效评价报告，按照新疆维吾尔自治区财政绩效管理信息系统绩效评价模块中统一格式和文本框架撰写绩效评价报告并提交审核。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5.问题整改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6.档案整理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建立和落实档案管理制度，将项目相关资料存档，包括但不限于：评价项目基本情况和相关文件、评价实施方案、项目支付资料等相关档案。</w:t>
      </w:r>
    </w:p>
    <w:p w14:paraId="7A65F8A3">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三、综合评价情况及评价结论</w:t>
      </w:r>
    </w:p>
    <w:p w14:paraId="7A4CE970">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（一）综合评价情况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评价，本项目较大程度达成年初设立的绩效目标，在实施过程中取得了良好的成效，具体表现在：通过项目的实施，完成平台维护数量1；保障办公人数39人；提供光纤数量1条；确保企业和群众反映的问题和合理诉求及时得到处置和办理。但在实施过程中也存在一些不足：短信发送数量与预期目标还有差距，主要原因为短信发送数量根据全平台群众使用数量变化，诉求人群较少，故短信发送较少。</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绩效评价通过绩效评价小组论证的评价指标体系及评分标准，采用因素分析法和比较法对本项目绩效进行客观评价，本项目共设置三级指标数量23个，实现三级指标数量20个，总体完成率为94.24%。最终评分结果：总分为96.39分，绩效评级为“优”。综合评价结论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项目决策类指标共设置6个，满分指标6个，得分率100.0%；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过程管理类指标共设置5个，满分指标4个，得分率98.63%；</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项目产出类指标共设置10个，满分指标8个，得分率88.83%；</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项目效益类指标共设置2个，满分指标2个，得分率100.0%。</w:t>
      </w:r>
    </w:p>
    <w:p w14:paraId="0F65A3F1">
      <w:pPr>
        <w:spacing w:line="540" w:lineRule="exact"/>
        <w:ind w:firstLine="640"/>
        <w:rPr>
          <w:rStyle w:val="18"/>
          <w:rFonts w:ascii="黑体" w:hAnsi="黑体" w:eastAsia="黑体"/>
          <w:color w:val="auto"/>
        </w:rPr>
      </w:pPr>
      <w:r>
        <w:rPr>
          <w:rStyle w:val="18"/>
          <w:rFonts w:hint="eastAsia" w:ascii="黑体" w:hAnsi="黑体" w:eastAsia="黑体"/>
          <w:b w:val="0"/>
          <w:color w:val="auto"/>
          <w:spacing w:val="-4"/>
          <w:sz w:val="32"/>
          <w:szCs w:val="32"/>
        </w:rPr>
        <w:t>四、绩效评价指标分析</w:t>
      </w:r>
      <w:r>
        <w:rPr>
          <w:rStyle w:val="18"/>
          <w:rFonts w:hint="eastAsia" w:ascii="黑体" w:hAnsi="黑体" w:eastAsia="黑体"/>
          <w:color w:val="auto"/>
        </w:rPr>
        <w:t xml:space="preserve"> </w:t>
      </w:r>
    </w:p>
    <w:p w14:paraId="75F90A2A">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（一）</w:t>
      </w:r>
      <w:r>
        <w:rPr>
          <w:rStyle w:val="18"/>
          <w:rFonts w:hint="eastAsia" w:ascii="楷体" w:hAnsi="楷体" w:eastAsia="楷体"/>
          <w:color w:val="auto"/>
          <w:spacing w:val="-4"/>
          <w:sz w:val="32"/>
          <w:szCs w:val="32"/>
        </w:rPr>
        <w:t>项目决策情况</w:t>
      </w:r>
    </w:p>
    <w:p w14:paraId="3BAE7AF8">
      <w:pPr>
        <w:tabs>
          <w:tab w:val="center" w:pos="4295"/>
        </w:tabs>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项目决策类指标由3个二级指标和6个三级指标构成，权重分21.00分，实际得分21.00分。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1.项目立项情况分析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（1）立项依据充分性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本项目立项符合《印发关于整合建设全区12345在线政务服务平台的工作方案的通知》 (新政办函〔2020〕) 38号)文件内容；本项目立项符合《国务院办公厅关于进一步优化地方政务服务热线的指导意见》（国办〔2020〕)53号）文件内容，符合行业发展规划和政策要求；本项目立项符合《昌吉州政资中心单位配置内设机构和人员编制规定》中职责范围中的“政务服务内容”，属于我单位履职所需；根据《财政资金直接支付申请书》，本项目资金性质为“公共财政预算”功能分类为“一般行政管理事务”经济分类为“商品服务支出”属于公共财政支持范围，符合中央、地方事权支出责任划分原则；经检查我单位财政应用平台指标，本项目不存在重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综上所述，本指标满分为5.00分，根据评分标准得5.00分，本项目立项依据充分。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（2）立项程序规范性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属于专项资金安排项目，不涉及事前绩效评估、可行性研究以及风险评估，由我单位严格按照《关于下单昌吉州本级预算单位2023年部门预算的通知》（昌州财行[2023]1号）文件要求实施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综上所述，本指标满分为3.00分，根据评分标准得3.00分，本项目立项程序规范。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2.绩效目标情况分析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（1）绩效目标合理性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已设置年度绩效目标，具体内容为“维护平台数量1套，发放补助39人，发送短信285万条，提供光纤1条，确保企业和群众反映的问题和合理诉求及时得到处置和办理。”；本项目实际工作内容为：平台维护数量1；保障办公人数39人；提供光纤数量1条；确保企业和群众反映的问题和合理诉求及时得到处置和办理；绩效目标与实际工作内容一致，两者具有相关性;本项目按照绩效目标完成了数量指标、质量指标、时效指标、成本指标，确保企业和群众反映的问题和合理诉求及时得到处置和办理，年度绩效目标完成，预期产出效益和效果符合正常的业绩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综上所述，本指标满分为4.00分，根据评分标准得4.00分，本项目绩效目标设置合理。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（2）绩效指标明确性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检查我单位年初设置的《项目支出绩效目标表》，得出如下结论：本项目已将年度绩效目标进行细化为绩效指标体系，共设置一级指标3个，二级指标5个，三级指标12个，定量指标11个，定性指标1个，指标量化率为92%，量化率达70.00%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综上所述，本指标满分为3.00分，根据评分标准得3.00分，本项目所设置绩效指标明确。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3.资金投入情况分析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（1）预算编制科学性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本项目预算编制通过市场询价得出，即预算编制较科学且经过论证；</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申请资金239万元，我单位在预算申请中严格按照单位标准和数量进行核算，其中保障热线服务费用209.62万元、平台租赁及运维费用14.38万元、短信费10万元、光纤费2.54万元。本项目预算额度测算依据充分，严格按照标准编制，预算确定资金量与实际工作任务相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综上所述，本指标满分为4.00分，根据评分标准4.00分，本项目预算编制科学。</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（2）资金分配合理性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分配资金以《关于申请12345云呼叫中心平台技术服务运维费项目资金的请示》和《12345云呼叫中心平台技术服务运维费项目实施方案》为依据进行资金分配，预算资金分配依据充分。根据《关于下单昌吉州本级预算单位2023年部门预算的通知》）昌州财行[2023]1号）文件显示，本项目实际到位资金239万元，实际分配资金与我单位提交申请的资金额度一致，资金分配额度合理，与我单位实际需求相适应。</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综上所述，本指标满分为2.00分，根据评分标准得2.00分，本项目资金分配合理。</w:t>
      </w:r>
      <w:r>
        <w:rPr>
          <w:rStyle w:val="18"/>
          <w:rFonts w:hint="eastAsia" w:ascii="楷体" w:hAnsi="楷体" w:eastAsia="楷体"/>
          <w:b w:val="0"/>
          <w:bCs w:val="0"/>
          <w:color w:val="auto"/>
          <w:spacing w:val="-4"/>
          <w:sz w:val="32"/>
          <w:szCs w:val="32"/>
        </w:rPr>
        <w:tab/>
      </w:r>
    </w:p>
    <w:p w14:paraId="64F924C3">
      <w:pPr>
        <w:spacing w:line="540" w:lineRule="exact"/>
        <w:ind w:firstLine="567" w:firstLineChars="181"/>
        <w:rPr>
          <w:rStyle w:val="18"/>
          <w:rFonts w:ascii="楷体" w:hAnsi="楷体" w:eastAsia="楷体"/>
          <w:color w:val="auto"/>
          <w:spacing w:val="-4"/>
          <w:sz w:val="32"/>
          <w:szCs w:val="32"/>
        </w:rPr>
      </w:pPr>
      <w:r>
        <w:rPr>
          <w:rFonts w:hint="eastAsia" w:ascii="楷体" w:hAnsi="楷体" w:eastAsia="楷体"/>
          <w:b/>
          <w:color w:val="auto"/>
          <w:spacing w:val="-4"/>
          <w:sz w:val="32"/>
          <w:szCs w:val="32"/>
        </w:rPr>
        <w:t>（二）</w:t>
      </w:r>
      <w:r>
        <w:rPr>
          <w:rStyle w:val="18"/>
          <w:rFonts w:hint="eastAsia" w:ascii="楷体" w:hAnsi="楷体" w:eastAsia="楷体"/>
          <w:color w:val="auto"/>
          <w:spacing w:val="-4"/>
          <w:sz w:val="32"/>
          <w:szCs w:val="32"/>
        </w:rPr>
        <w:t>项目过程情况</w:t>
      </w:r>
    </w:p>
    <w:p w14:paraId="2BDF70D3">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项目过程管理类指标由2个二级指标和5个三级指标构成，权重分19.00分，实际得分18.74分。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1.资金管理情况分析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（1）资金到位率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资金为239万元，其中：本级财政安排资金239万元，其他资金0万元，实际到位资金239万元，资金到位率等于（实际到位资金/预算资金）×100.00%等于（239/239）*100.00%等于100%。得分等于资金到位率*分值等于100%*4等于4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（2）预算执行率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本项目实际支出资金226.54万元，预算执行率等于（实际支出资金/实际到位资金）×100.00%等于（226.54/239）*100.00%等于94.79%。得分等于预算执行率*分值等于94.79%*5等于4.74分。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综上所述，本指标满分为5.00分，根据评分标准得4.74分，本项目资金分配合理。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（3）资金使用合规性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通过检查本项目签订的合同、资金申请文件、发票等财务付款凭证，得出本项目资金支出符合国家财经法规、《政府会计制度》以及《州政资中心资金管理办法》《州政资中心财务审批管理制度》，资金的拨付有完整的审批程序和手续，资金实际使用方向与预算批复用途一致，不存在截留、挤占、挪用、虚列支出的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综上所述，本指标满分为4.00分，根据评分标准得4分，资金支出符合我单位财务管理制度规定。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（1）管理制度健全性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已制定《州政资中心资金管理办法》《州政资中心财务审批管理制度》《州政资中心内控管理制度》，上述已建立的制度均符合行政事业单位内控管理要求，财务和业务管理制度合法、合规、完整，本项目执行符合上述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综上所述，本指标满分为2.00分，根据评分标准得2分，项目制度建设健全。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（2）制度执行有效性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12345云呼叫中心平台技术服务运维费项目工作领导小组，由范凤娟任组长，负责项目的组织工作；王志英任副组长，负责项目的实施工作；组员包括：张爱华和董辉，主要负责项目监督管理、验收以及资金核拨等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综上所述，本指标满分为4.00分，根据评分标准得4分，本项目所建立制度执行有效。</w:t>
      </w:r>
    </w:p>
    <w:p w14:paraId="3ADC2821">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（三）</w:t>
      </w:r>
      <w:r>
        <w:rPr>
          <w:rStyle w:val="18"/>
          <w:rFonts w:hint="eastAsia" w:ascii="楷体" w:hAnsi="楷体" w:eastAsia="楷体"/>
          <w:color w:val="auto"/>
          <w:spacing w:val="-4"/>
          <w:sz w:val="32"/>
          <w:szCs w:val="32"/>
        </w:rPr>
        <w:t>项目产出情况</w:t>
      </w:r>
    </w:p>
    <w:p w14:paraId="29A00DFA">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项目产出类指标由3个二级指标和10个三级指标构成，权重分30.0分，实际得分26.65分。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1.数量指标完成情况分析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“平台维护数量”指标：预期指标值为“等于1套”，实际完成指标值为“1套”，指标完成率为100.0%。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“保障办公人数”指标：预期指标值为“大于等于39人”，实际完成指标值为“39人”，指标完成率为100.0%。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发送短信”指标：预期指标值为“大于等于285万条”，实际完成指标值为“61.99万条”，指标完成率为21.8%。（偏差率为78.2%，偏差原因主要为：短信发送数量根据全平台群众使用数量变化，诉求人群较少，故短信发送较少。）</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“提供光纤数量”指标：预期指标值为“等于1条”，实际完成指标值为“1条”，指标完成率为100.0%。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“热线服务天数”指标：预期指标值为“等于365天”，实际完成指标值为“365天”，指标完成率为100.0%。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综上所述，数量指标满分为15分，根据评分标准得12.65分。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2.质量指标完成情况分析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“服务质量达标率”指标：预期指标值为“大于等于90%”，实际完成指标值为“100%”，指标完成率为100%。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综上所述，本指标满分为5分，根据评分标准得5分。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3.时效指标完成情况分析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4.成本指标完成情况分析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“保障热线服务成本”指标：预期指标值为“小于等于209.62万元”，实际完成指标值为“209.62万元”，指标完成率为100%。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“平台租赁及运维成本”指标：预期指标值为“小于等于14.38万元”，实际完成指标值为“14.38万元”，指标完成率为100%。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“短信费成本”指标：预期指标值为“小于等于10万元”，实际完成指标值为“10万元”，指标完成率为100%。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光纤费成本”指标：预期指标值为“小于等于5万元”，实际完成指标值为“2.54万元”，指标完成率为50.8%。（若有偏差，则需补充说明：偏差率为49.2%，偏差原因主要为：光纤费主要为单位电话费，部分开支由公用经费支付。）</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综上所述，本指标满分为10分，根据评分标准得9.00分。</w:t>
      </w:r>
    </w:p>
    <w:p w14:paraId="73A6BB63">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（四）</w:t>
      </w:r>
      <w:r>
        <w:rPr>
          <w:rStyle w:val="18"/>
          <w:rFonts w:hint="eastAsia" w:ascii="楷体" w:hAnsi="楷体" w:eastAsia="楷体"/>
          <w:color w:val="auto"/>
          <w:spacing w:val="-4"/>
          <w:sz w:val="32"/>
          <w:szCs w:val="32"/>
        </w:rPr>
        <w:t>项目效益情况</w:t>
      </w:r>
    </w:p>
    <w:p w14:paraId="480C5505">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项目效益类指标由2个二级指标和2个三级指标构成，权重分30.0分，实际得分30分。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1.经济效益完成情况分析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2.社会效益完成情况分析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“确保企业和群众反映的问题和合理诉求及时得到处置和办理”指标：预期指标值为“保障”，实际完成指标值为“基本达成目标”，指标完成率为100.0%。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综上所述，本指标满分为20分，根据评分标准得20分。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3.生态效益完成情况分析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4.满意度完成情况分析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“群众满意度”指标：预期指标值为“大于等于90%”，实际完成指标值为“99%”，指标完成率为100%。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综上所述，本指标满分为10分，根据评分标准得10分。</w:t>
      </w:r>
    </w:p>
    <w:p w14:paraId="0656382E">
      <w:pPr>
        <w:spacing w:line="540" w:lineRule="exact"/>
        <w:ind w:firstLine="567"/>
        <w:rPr>
          <w:rStyle w:val="18"/>
          <w:rFonts w:ascii="楷体" w:hAnsi="楷体" w:eastAsia="楷体"/>
          <w:color w:val="auto"/>
          <w:spacing w:val="-4"/>
          <w:sz w:val="32"/>
          <w:szCs w:val="32"/>
        </w:rPr>
      </w:pPr>
    </w:p>
    <w:p w14:paraId="77865FD2">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预算执行进度与绩效指标偏差</w:t>
      </w:r>
    </w:p>
    <w:p w14:paraId="77AEF494">
      <w:pPr>
        <w:spacing w:line="540" w:lineRule="exact"/>
        <w:ind w:firstLine="567"/>
        <w:rPr>
          <w:rStyle w:val="18"/>
          <w:rFonts w:hint="default" w:ascii="黑体" w:hAnsi="黑体" w:eastAsia="黑体"/>
          <w:b w:val="0"/>
          <w:color w:val="auto"/>
          <w:spacing w:val="-4"/>
          <w:sz w:val="32"/>
          <w:szCs w:val="32"/>
          <w:lang w:val="en-US" w:eastAsia="zh-CN"/>
        </w:rPr>
      </w:pPr>
      <w:r>
        <w:rPr>
          <w:rStyle w:val="18"/>
          <w:rFonts w:hint="eastAsia" w:ascii="楷体" w:hAnsi="楷体" w:eastAsia="楷体"/>
          <w:b w:val="0"/>
          <w:bCs w:val="0"/>
          <w:color w:val="auto"/>
          <w:spacing w:val="-4"/>
          <w:sz w:val="32"/>
          <w:szCs w:val="32"/>
        </w:rPr>
        <w:t>本项目年初预算资金总额为239万元，全年预算数为239万元，全年执行数为226.54万元，预算执行率为94.79%。</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本项目共设置三级指标数量23个，满分指标数量20个，扣分指标数量3个，经分析计算所有三级指标完成率得出，本项目总体完成率为94.24%。</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综上所述本项目预算执行进度与绩效指标完成进度无偏差。</w:t>
      </w:r>
    </w:p>
    <w:p w14:paraId="5E9B5EF6">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rPr>
        <w:t>主要经验及做法、存在的问题及原因分析</w:t>
      </w:r>
    </w:p>
    <w:p w14:paraId="1A0B0764">
      <w:pPr>
        <w:spacing w:line="540" w:lineRule="exact"/>
        <w:ind w:firstLine="567"/>
        <w:rPr>
          <w:rFonts w:ascii="仿宋_GB2312" w:eastAsia="仿宋_GB2312"/>
          <w:color w:val="auto"/>
          <w:spacing w:val="-4"/>
          <w:sz w:val="32"/>
          <w:szCs w:val="32"/>
        </w:rPr>
      </w:pPr>
      <w:r>
        <w:rPr>
          <w:rStyle w:val="18"/>
          <w:rFonts w:hint="eastAsia" w:ascii="楷体" w:hAnsi="楷体" w:eastAsia="楷体"/>
          <w:b w:val="0"/>
          <w:bCs w:val="0"/>
          <w:color w:val="auto"/>
          <w:spacing w:val="-4"/>
          <w:sz w:val="32"/>
          <w:szCs w:val="32"/>
        </w:rPr>
        <w:t>（一）主要经验及做法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本单位建立健全了预算管理规章制度，各部门严格按预算编制和要求做好当年预算编制工作，在预算绩效管理工作中，做到合理安排各项资金，重点保障基本支出，按轻重缓急顺序原则，优先安排了本单位事业发展中关系民生与稳定的项目，切实优化资源配置，提高了资金使用的效率和效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所设定的绩效目标依据充分，绩效目标设定的绩效指标明确，预算编制具有合理性，制度建设完全，相关制度执行有效，资金到位及时。项目资金严格按照预算管理规定开支，项目能够按时开展，并及时完成，总体完成质量较好，达成了既定的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3.项目资金审核符合程序，会计核算规范，单位按照财政专项资金的管理办法进行账务处理，并严格执行相关政策。</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（二）存在的问题及原因分析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1.单位内控职责不够细化，项目预算的绩效设定与实际的项目支出存在些许差距，争取在今后工作中准确把握项目资金支出，达到资金的最大效益。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2.目前财务工作量较大，任务繁重，为了能够适应新政府会计制度的改革实施，要进一步加大财务人员培训力度，提高业务水平和能力。</w:t>
      </w:r>
    </w:p>
    <w:p w14:paraId="79795055">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七</w:t>
      </w:r>
      <w:r>
        <w:rPr>
          <w:rStyle w:val="18"/>
          <w:rFonts w:hint="eastAsia" w:ascii="黑体" w:hAnsi="黑体" w:eastAsia="黑体"/>
          <w:b w:val="0"/>
          <w:color w:val="auto"/>
          <w:spacing w:val="-4"/>
          <w:sz w:val="32"/>
          <w:szCs w:val="32"/>
        </w:rPr>
        <w:t>、有关建议</w:t>
      </w:r>
    </w:p>
    <w:p w14:paraId="4BB1CE09">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b w:val="0"/>
          <w:bCs w:val="0"/>
          <w:color w:val="auto"/>
          <w:spacing w:val="-4"/>
          <w:sz w:val="32"/>
          <w:szCs w:val="32"/>
        </w:rPr>
        <w:t>加大预算绩效管理培训力度，贯彻落实相关办法及制度。采取集中学习、讲座、专题会议等方式，加大对参与绩效管理工作的人员培训力度，进一步统一认识，充实业务知识。以提高工作人员素质，以达到预算绩效管理标准化、常态化的要求，最终实现提高绩效管理工作效率及质量的目标。</w:t>
      </w:r>
    </w:p>
    <w:p w14:paraId="2F6A4712">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八</w:t>
      </w:r>
      <w:r>
        <w:rPr>
          <w:rStyle w:val="18"/>
          <w:rFonts w:hint="eastAsia" w:ascii="黑体" w:hAnsi="黑体" w:eastAsia="黑体"/>
          <w:b w:val="0"/>
          <w:color w:val="auto"/>
          <w:spacing w:val="-4"/>
          <w:sz w:val="32"/>
          <w:szCs w:val="32"/>
        </w:rPr>
        <w:t>、其他需要说明的问题</w:t>
      </w:r>
    </w:p>
    <w:p w14:paraId="5737C1C6">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（四）我单位对上述项目支出绩效评价报告内反映内容的真实性、完整性负责，接受上级部门及社会公众监督。</w:t>
      </w:r>
    </w:p>
    <w:p w14:paraId="1A4A10FE">
      <w:pPr>
        <w:spacing w:line="540" w:lineRule="exact"/>
        <w:ind w:firstLine="567"/>
        <w:rPr>
          <w:rStyle w:val="18"/>
          <w:rFonts w:ascii="仿宋" w:hAnsi="仿宋" w:eastAsia="仿宋"/>
          <w:b w:val="0"/>
          <w:color w:val="auto"/>
          <w:spacing w:val="-4"/>
          <w:sz w:val="32"/>
          <w:szCs w:val="32"/>
        </w:rPr>
      </w:pPr>
    </w:p>
    <w:p w14:paraId="357DBEAA">
      <w:pPr>
        <w:spacing w:line="540" w:lineRule="exact"/>
        <w:ind w:firstLine="567"/>
        <w:rPr>
          <w:rStyle w:val="18"/>
          <w:rFonts w:ascii="仿宋" w:hAnsi="仿宋" w:eastAsia="仿宋"/>
          <w:b w:val="0"/>
          <w:color w:val="auto"/>
          <w:spacing w:val="-4"/>
          <w:sz w:val="32"/>
          <w:szCs w:val="32"/>
        </w:rPr>
      </w:pPr>
    </w:p>
    <w:p w14:paraId="0F1EEFE5">
      <w:pPr>
        <w:spacing w:line="540" w:lineRule="exact"/>
        <w:ind w:firstLine="567"/>
        <w:rPr>
          <w:rStyle w:val="18"/>
          <w:rFonts w:ascii="仿宋" w:hAnsi="仿宋" w:eastAsia="仿宋"/>
          <w:b w:val="0"/>
          <w:color w:val="auto"/>
          <w:spacing w:val="-4"/>
          <w:sz w:val="32"/>
          <w:szCs w:val="32"/>
        </w:rPr>
      </w:pPr>
    </w:p>
    <w:p w14:paraId="701DF6D5">
      <w:pPr>
        <w:spacing w:line="540" w:lineRule="exact"/>
        <w:ind w:firstLine="567"/>
        <w:rPr>
          <w:rStyle w:val="18"/>
          <w:rFonts w:ascii="仿宋" w:hAnsi="仿宋" w:eastAsia="仿宋"/>
          <w:b w:val="0"/>
          <w:color w:val="auto"/>
          <w:spacing w:val="-4"/>
          <w:sz w:val="32"/>
          <w:szCs w:val="32"/>
        </w:rPr>
      </w:pPr>
    </w:p>
    <w:p w14:paraId="48D3DBF5">
      <w:pPr>
        <w:spacing w:line="540" w:lineRule="exact"/>
        <w:ind w:firstLine="567"/>
        <w:rPr>
          <w:rStyle w:val="18"/>
          <w:rFonts w:ascii="仿宋" w:hAnsi="仿宋" w:eastAsia="仿宋"/>
          <w:b w:val="0"/>
          <w:color w:val="auto"/>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D04695-922A-4D24-B637-D1A5B763E4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2D9B1C2-F56D-4344-B6FE-D14424EF1C71}"/>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9DB9F457-B1D9-45DF-9C1C-21BB5A2FB9CB}"/>
  </w:font>
  <w:font w:name="华文中宋">
    <w:panose1 w:val="02010600040101010101"/>
    <w:charset w:val="86"/>
    <w:family w:val="auto"/>
    <w:pitch w:val="default"/>
    <w:sig w:usb0="00000287" w:usb1="080F0000" w:usb2="00000000" w:usb3="00000000" w:csb0="0004009F" w:csb1="DFD70000"/>
    <w:embedRegular r:id="rId4" w:fontKey="{1D76989A-43D1-4B52-B962-4259892B1EBF}"/>
  </w:font>
  <w:font w:name="方正小标宋_GBK">
    <w:panose1 w:val="02000000000000000000"/>
    <w:charset w:val="86"/>
    <w:family w:val="script"/>
    <w:pitch w:val="default"/>
    <w:sig w:usb0="A00002BF" w:usb1="38CF7CFA" w:usb2="00082016" w:usb3="00000000" w:csb0="00040001" w:csb1="00000000"/>
    <w:embedRegular r:id="rId5" w:fontKey="{41BC6845-2EDB-4742-B14B-D103BBD9E125}"/>
  </w:font>
  <w:font w:name="仿宋_GB2312">
    <w:panose1 w:val="02010609030101010101"/>
    <w:charset w:val="86"/>
    <w:family w:val="modern"/>
    <w:pitch w:val="default"/>
    <w:sig w:usb0="00000001" w:usb1="080E0000" w:usb2="00000000" w:usb3="00000000" w:csb0="00040000" w:csb1="00000000"/>
    <w:embedRegular r:id="rId6" w:fontKey="{07801842-77FC-49DA-A227-B673F6977286}"/>
  </w:font>
  <w:font w:name="楷体">
    <w:panose1 w:val="02010609060101010101"/>
    <w:charset w:val="86"/>
    <w:family w:val="modern"/>
    <w:pitch w:val="default"/>
    <w:sig w:usb0="800002BF" w:usb1="38CF7CFA" w:usb2="00000016" w:usb3="00000000" w:csb0="00040001" w:csb1="00000000"/>
    <w:embedRegular r:id="rId7" w:fontKey="{EB3F678A-336A-4D8F-AC88-934AA63FEF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1255E244">
        <w:pPr>
          <w:pStyle w:val="12"/>
          <w:jc w:val="center"/>
        </w:pPr>
        <w:r>
          <w:fldChar w:fldCharType="begin"/>
        </w:r>
        <w:r>
          <w:instrText xml:space="preserve">PAGE   \* MERGEFORMAT</w:instrText>
        </w:r>
        <w:r>
          <w:fldChar w:fldCharType="separate"/>
        </w:r>
        <w:r>
          <w:rPr>
            <w:lang w:val="zh-CN"/>
          </w:rPr>
          <w:t>2</w:t>
        </w:r>
        <w:r>
          <w:fldChar w:fldCharType="end"/>
        </w:r>
      </w:p>
    </w:sdtContent>
  </w:sdt>
  <w:p w14:paraId="0259ADD0">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19E82F98"/>
    <w:rsid w:val="3029612C"/>
    <w:rsid w:val="32A221C5"/>
    <w:rsid w:val="33F20F2A"/>
    <w:rsid w:val="34C44675"/>
    <w:rsid w:val="3A420DD8"/>
    <w:rsid w:val="3B5B5607"/>
    <w:rsid w:val="3CE21B3C"/>
    <w:rsid w:val="4D2606A1"/>
    <w:rsid w:val="51830480"/>
    <w:rsid w:val="53A616BE"/>
    <w:rsid w:val="54662BFB"/>
    <w:rsid w:val="56A82C16"/>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123</Words>
  <Characters>135</Characters>
  <Lines>4</Lines>
  <Paragraphs>1</Paragraphs>
  <TotalTime>2</TotalTime>
  <ScaleCrop>false</ScaleCrop>
  <LinksUpToDate>false</LinksUpToDate>
  <CharactersWithSpaces>147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2026-09-24T03:43:40Z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