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FC43C6">
      <w:pPr>
        <w:spacing w:line="540" w:lineRule="exact"/>
        <w:jc w:val="left"/>
        <w:rPr>
          <w:rFonts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5D07362B">
      <w:pPr>
        <w:spacing w:line="540" w:lineRule="exact"/>
        <w:jc w:val="center"/>
        <w:rPr>
          <w:rFonts w:ascii="华文中宋" w:hAnsi="华文中宋" w:eastAsia="华文中宋" w:cs="宋体"/>
          <w:b/>
          <w:kern w:val="0"/>
          <w:sz w:val="52"/>
          <w:szCs w:val="52"/>
        </w:rPr>
      </w:pPr>
    </w:p>
    <w:p w14:paraId="47CA7D09">
      <w:pPr>
        <w:spacing w:line="540" w:lineRule="exact"/>
        <w:jc w:val="center"/>
        <w:rPr>
          <w:rFonts w:ascii="华文中宋" w:hAnsi="华文中宋" w:eastAsia="华文中宋" w:cs="宋体"/>
          <w:b/>
          <w:kern w:val="0"/>
          <w:sz w:val="52"/>
          <w:szCs w:val="52"/>
        </w:rPr>
      </w:pPr>
    </w:p>
    <w:p w14:paraId="76720819">
      <w:pPr>
        <w:spacing w:line="540" w:lineRule="exact"/>
        <w:jc w:val="center"/>
        <w:rPr>
          <w:rFonts w:ascii="华文中宋" w:hAnsi="华文中宋" w:eastAsia="华文中宋" w:cs="宋体"/>
          <w:b/>
          <w:kern w:val="0"/>
          <w:sz w:val="52"/>
          <w:szCs w:val="52"/>
        </w:rPr>
      </w:pPr>
    </w:p>
    <w:p w14:paraId="2DEFBF6B">
      <w:pPr>
        <w:spacing w:line="540" w:lineRule="exact"/>
        <w:jc w:val="center"/>
        <w:rPr>
          <w:rFonts w:ascii="华文中宋" w:hAnsi="华文中宋" w:eastAsia="华文中宋" w:cs="宋体"/>
          <w:b/>
          <w:kern w:val="0"/>
          <w:sz w:val="52"/>
          <w:szCs w:val="52"/>
        </w:rPr>
      </w:pPr>
    </w:p>
    <w:p w14:paraId="05F671E9">
      <w:pPr>
        <w:spacing w:line="540" w:lineRule="exact"/>
        <w:jc w:val="center"/>
        <w:rPr>
          <w:rFonts w:ascii="华文中宋" w:hAnsi="华文中宋" w:eastAsia="华文中宋" w:cs="宋体"/>
          <w:b/>
          <w:kern w:val="0"/>
          <w:sz w:val="52"/>
          <w:szCs w:val="52"/>
        </w:rPr>
      </w:pPr>
    </w:p>
    <w:p w14:paraId="3CC969C7">
      <w:pPr>
        <w:spacing w:line="540" w:lineRule="exact"/>
        <w:jc w:val="center"/>
        <w:rPr>
          <w:rFonts w:ascii="华文中宋" w:hAnsi="华文中宋" w:eastAsia="华文中宋" w:cs="宋体"/>
          <w:b/>
          <w:kern w:val="0"/>
          <w:sz w:val="52"/>
          <w:szCs w:val="52"/>
        </w:rPr>
      </w:pPr>
    </w:p>
    <w:p w14:paraId="3885CE9B">
      <w:pPr>
        <w:spacing w:line="54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66350B70">
      <w:pPr>
        <w:spacing w:line="540" w:lineRule="exact"/>
        <w:jc w:val="center"/>
        <w:rPr>
          <w:rFonts w:ascii="华文中宋" w:hAnsi="华文中宋" w:eastAsia="华文中宋" w:cs="宋体"/>
          <w:b/>
          <w:kern w:val="0"/>
          <w:sz w:val="52"/>
          <w:szCs w:val="52"/>
        </w:rPr>
      </w:pPr>
    </w:p>
    <w:p w14:paraId="03DCF9AC">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337EF3B1">
      <w:pPr>
        <w:spacing w:line="540" w:lineRule="exact"/>
        <w:jc w:val="center"/>
        <w:rPr>
          <w:rFonts w:hAnsi="宋体" w:eastAsia="仿宋_GB2312" w:cs="宋体"/>
          <w:kern w:val="0"/>
          <w:sz w:val="30"/>
          <w:szCs w:val="30"/>
        </w:rPr>
      </w:pPr>
    </w:p>
    <w:p w14:paraId="69DBE8F0">
      <w:pPr>
        <w:spacing w:line="540" w:lineRule="exact"/>
        <w:jc w:val="center"/>
        <w:rPr>
          <w:rFonts w:hAnsi="宋体" w:eastAsia="仿宋_GB2312" w:cs="宋体"/>
          <w:kern w:val="0"/>
          <w:sz w:val="30"/>
          <w:szCs w:val="30"/>
        </w:rPr>
      </w:pPr>
    </w:p>
    <w:p w14:paraId="4DE6BA7F">
      <w:pPr>
        <w:spacing w:line="540" w:lineRule="exact"/>
        <w:jc w:val="center"/>
        <w:rPr>
          <w:rFonts w:hAnsi="宋体" w:eastAsia="仿宋_GB2312" w:cs="宋体"/>
          <w:kern w:val="0"/>
          <w:sz w:val="30"/>
          <w:szCs w:val="30"/>
        </w:rPr>
      </w:pPr>
    </w:p>
    <w:p w14:paraId="050A51A7">
      <w:pPr>
        <w:spacing w:line="540" w:lineRule="exact"/>
        <w:jc w:val="center"/>
        <w:rPr>
          <w:rFonts w:hAnsi="宋体" w:eastAsia="仿宋_GB2312" w:cs="宋体"/>
          <w:kern w:val="0"/>
          <w:sz w:val="30"/>
          <w:szCs w:val="30"/>
        </w:rPr>
      </w:pPr>
    </w:p>
    <w:p w14:paraId="3869917F">
      <w:pPr>
        <w:spacing w:line="540" w:lineRule="exact"/>
        <w:jc w:val="center"/>
        <w:rPr>
          <w:rFonts w:hAnsi="宋体" w:eastAsia="仿宋_GB2312" w:cs="宋体"/>
          <w:kern w:val="0"/>
          <w:sz w:val="30"/>
          <w:szCs w:val="30"/>
        </w:rPr>
      </w:pPr>
    </w:p>
    <w:p w14:paraId="1A0C0E53">
      <w:pPr>
        <w:spacing w:line="540" w:lineRule="exact"/>
        <w:jc w:val="center"/>
        <w:rPr>
          <w:rFonts w:hAnsi="宋体" w:eastAsia="仿宋_GB2312" w:cs="宋体"/>
          <w:kern w:val="0"/>
          <w:sz w:val="30"/>
          <w:szCs w:val="30"/>
        </w:rPr>
      </w:pPr>
    </w:p>
    <w:p w14:paraId="260BC2B7">
      <w:pPr>
        <w:spacing w:line="540" w:lineRule="exact"/>
        <w:rPr>
          <w:rFonts w:hAnsi="宋体" w:eastAsia="仿宋_GB2312" w:cs="宋体"/>
          <w:kern w:val="0"/>
          <w:sz w:val="30"/>
          <w:szCs w:val="30"/>
        </w:rPr>
      </w:pPr>
    </w:p>
    <w:p w14:paraId="59509668">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14:paraId="330E4551">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追加自主择业军转干部地方配套经费</w:t>
      </w:r>
    </w:p>
    <w:p w14:paraId="5658D5E8">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昌吉回族自治州退役军人事务局</w:t>
      </w:r>
    </w:p>
    <w:p w14:paraId="431DAA69">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昌吉回族自治州退役军人事务局</w:t>
      </w:r>
    </w:p>
    <w:p w14:paraId="160E46CB">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章程</w:t>
      </w:r>
    </w:p>
    <w:p w14:paraId="4E0FACA0">
      <w:pPr>
        <w:spacing w:line="540" w:lineRule="exact"/>
        <w:ind w:left="273" w:firstLine="567"/>
        <w:rPr>
          <w:rStyle w:val="18"/>
          <w:rFonts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2024年03月15日</w:t>
      </w:r>
    </w:p>
    <w:p w14:paraId="161311A3">
      <w:pPr>
        <w:spacing w:line="700" w:lineRule="exact"/>
        <w:ind w:firstLine="708" w:firstLineChars="236"/>
        <w:jc w:val="left"/>
        <w:rPr>
          <w:rFonts w:hAnsi="宋体" w:eastAsia="仿宋_GB2312" w:cs="宋体"/>
          <w:kern w:val="0"/>
          <w:sz w:val="30"/>
          <w:szCs w:val="30"/>
        </w:rPr>
      </w:pPr>
    </w:p>
    <w:p w14:paraId="6C6D0894">
      <w:pPr>
        <w:spacing w:line="540" w:lineRule="exact"/>
        <w:rPr>
          <w:rStyle w:val="18"/>
          <w:rFonts w:ascii="黑体" w:hAnsi="黑体" w:eastAsia="黑体"/>
          <w:b w:val="0"/>
          <w:spacing w:val="-4"/>
          <w:sz w:val="32"/>
          <w:szCs w:val="32"/>
        </w:rPr>
      </w:pPr>
    </w:p>
    <w:p w14:paraId="74D2CA5F">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一、基本情况</w:t>
      </w:r>
    </w:p>
    <w:p w14:paraId="12C4F712">
      <w:pPr>
        <w:spacing w:line="540" w:lineRule="exact"/>
        <w:ind w:firstLine="567"/>
        <w:rPr>
          <w:rStyle w:val="18"/>
          <w:rFonts w:hint="default" w:ascii="楷体" w:hAnsi="楷体" w:eastAsia="楷体"/>
          <w:spacing w:val="-4"/>
          <w:sz w:val="32"/>
          <w:szCs w:val="32"/>
          <w:lang w:val="en-US" w:eastAsia="zh-CN"/>
        </w:rPr>
      </w:pPr>
      <w:r>
        <w:rPr>
          <w:rStyle w:val="18"/>
          <w:rFonts w:hint="eastAsia" w:ascii="楷体" w:hAnsi="楷体" w:eastAsia="楷体"/>
          <w:spacing w:val="-4"/>
          <w:sz w:val="32"/>
          <w:szCs w:val="32"/>
        </w:rPr>
        <w:t>（一）项目概况</w:t>
      </w:r>
      <w:r>
        <w:rPr>
          <w:rStyle w:val="18"/>
          <w:rFonts w:hint="eastAsia" w:ascii="楷体" w:hAnsi="楷体" w:eastAsia="楷体"/>
          <w:spacing w:val="-4"/>
          <w:sz w:val="32"/>
          <w:szCs w:val="32"/>
          <w:lang w:eastAsia="zh-CN"/>
        </w:rPr>
        <w:t>。</w:t>
      </w:r>
    </w:p>
    <w:p w14:paraId="70780C39">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1.项目背景</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退役军人保障法》第九条：退役军人保障工作所需经费由中央和地方共同承担。第五十条：退役军人依法参加当地政府的养老、医疗、工伤、失业等社会保险，并享受相应待遇。《军队转业干部安置暂行办法》第五十九条：到地方后，未被党和国家机关、团体、企业事业单位录用聘用期间的住房补贴和医疗保障所需经费，由安置地政府解决。《关于自主择业的军队转业干部安置管理若干问题的意见》第四部分参加基本医疗保险所需缴纳的单位缴费部分和公务员医疗补助所需经费由安置地政府解决。 《关于印发&lt;新疆维吾尔自治区贯彻关于自主择业的军队转业干部安置管理若干问题的意见的实施意见&gt;的通知》(新转联〔2001〕6号)：自主择业军转干部医疗保障属单位缴费和按国家公务员补助的部分及冬季取暖费由同级财政纳入当年财政预算。</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2.主要内容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贯彻落实党中央关于退役军人的方针政策和区州党委对退役军人工作要求，加强党对退役军人工作的集中统一领导，做好自主择业军转干部服务管理工作；做好自主择业军转干部信息化建设、走访慰问、档案管理、就业宣传等管理服务工作；为106名自主择业军转干部缴纳职工基本医疗保险、缴纳大额医疗、发放取暖费、缴纳公务员医疗补助共184.80万元。具有重要的社会意义和经济效益，有助于保障他们的基本生活、提高生活质量，促进社会和谐稳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3.实施情况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实施主体：昌吉回族自治州退役军人事务局。</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实施时间：本项目实施周期为2023年1月-2023年12月。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昌吉州直管理106名自主择业军转干部，建立基本医疗保险制度的地区，自主择业军转干部未被党和国家机关、人民团体、企业事业单位录用聘用期间，按照安置地政府的有关规定，统一参加安置地的基本医疗保险，并享受公务员医疗补助待遇。参加基本医疗保险所需缴纳的单位缴费部分和公务员医疗补助，由安置地军队转业干部安置工作部门向当地统筹地区社会保险经办机构缴纳，所需经费由安置地政府解决，自主择业享受公务员医保待遇人员名单进行保密管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本项目于2022年1月开始实施，</w:t>
      </w:r>
      <w:r>
        <w:rPr>
          <w:rStyle w:val="18"/>
          <w:rFonts w:hint="eastAsia" w:ascii="楷体" w:hAnsi="楷体" w:eastAsia="楷体"/>
          <w:b w:val="0"/>
          <w:bCs w:val="0"/>
          <w:spacing w:val="-4"/>
          <w:sz w:val="32"/>
          <w:szCs w:val="32"/>
          <w:lang w:eastAsia="zh-CN"/>
        </w:rPr>
        <w:t>截至2023年</w:t>
      </w:r>
      <w:r>
        <w:rPr>
          <w:rStyle w:val="18"/>
          <w:rFonts w:hint="eastAsia" w:ascii="楷体" w:hAnsi="楷体" w:eastAsia="楷体"/>
          <w:b w:val="0"/>
          <w:bCs w:val="0"/>
          <w:spacing w:val="-4"/>
          <w:sz w:val="32"/>
          <w:szCs w:val="32"/>
        </w:rPr>
        <w:t>12月已全部完成，通过本项目的实施，通过本项目的实施，退役军人满意度提升，能力得到提升，退役军人获得感、幸福感逐年提升。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4.项目实施主体</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（1）主要职能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昌吉州退役军人事务局是 2018 年 11 月 29 日成立的政府工作部门。其主要职责是负责退役军人思想政治、服务管理、移交安置、教育培训、就业创业、优待抚恤、褒扬纪念、双拥共建等退役军人事务领域服务性、保障性、事务性工作，承担自治州党委退役军人事务工作领导小组办公室和自治州双拥工作领导小组办公室工作职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（2）机构设置情况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2023年自主择业军转干部地方配套经费的实施主体为昌吉回族自治州退役军人事务局。该单位纳入2023年部门决算编制范围的有3个科室，分别是：办公室、拥军优抚科、退役安置科；下属一个事业单位：昌吉州军队离退休干部休养所；现有在职干部14人，其中县级干部3人，科级干部8人，科级以下干部3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5.资金投入和使用情况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（1）项目资金安排落实、总投入等情况分析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本项目预算安排总额为184.80万元，资金来源为本级部门预算，其中：财政资金184.80万元，其他资金00.00万元，2023年实际收到预算资金184.80万元，预算资金到位率为100.00%。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（2）项目资金实际使用情况分析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截至2023年12月31日，本项目实际支付资金183.56万元，预算执行率99.33%，本项目资金主要用于为106名自主择业军转干部缴纳基本医疗保险183.56万元。</w:t>
      </w:r>
    </w:p>
    <w:p w14:paraId="3AD32897">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（二）项目绩效目标</w:t>
      </w:r>
    </w:p>
    <w:p w14:paraId="02156808">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1.总体目标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计划为106名自主择业军转干部缴纳缴纳职工基本医疗保险、缴纳大额医疗、发放取暖费、缴纳公务员医疗，彻落实党中央关于退役军人的方针政策和区州党委对退役军人工作要求，加强党对退役军人工作的集中统一领导，做好自主择业军转干部服务管理工作。做好自主择业军转干部信息化建设、走访慰问、档案管理、就业宣传等管理服务工作。使退役军人能力得到提升，促进社会和谐、无信访事件，增加了退役军人获得感、荣誉感。</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2.阶段性目标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“缴纳职工基本医疗保险人数（人数）”指标，预期指标值为“大于等于106人”；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“缴纳大额医疗人数（人数）”指标，预期指标值为“大于等于106人”；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“发放取暖费（人数）”指标，预期指标值为“大于等于106人”；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“缴纳公务员医疗补助人数（人数）”指标，预期指标值为“大于等于106人”；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“经费完成率（%）”指标，预期指标值为“大于等于98.00%”；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③时效指标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“大病医疗保险金”指标，预期指标值为“小于等于16000元/月”；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“基本医疗保险费”指标，预期指标值为“小于等于16000元/月”；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“公务员医疗补助”指标，预期指标值为“等于5元/月；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③生态环境成本指标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“服务退役军人能力得到提升，促进社会和谐、无信访事件”指标，预期指标值为“提高”；</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“退役军人获得感、荣誉感”指标，预期指标值为“提升”；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“退役军人满意度”指标，预期指标值为“大于等于95.00%”。</w:t>
      </w:r>
    </w:p>
    <w:p w14:paraId="45176506">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0ECE5524">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0705EB9D">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2.绩效评价对象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此次我单位根据《财政支出绩效评价管理暂行办法》（财预〔2020〕10号）文件要求实施评价工作，本次评价对象为自主择业军转干部地方配套经费，评价核心为项目资金、项目产出、项目效益。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4.绩效评价依据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(1)《中华人民共和国预算法》；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(2)《中共中央国务院关于全面实施预算绩效管理的意见》（中发〔2018〕34号）；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(3)《项目支出绩效评价管理办法》（财预〔2020〕10号）；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(4)《自治区财政支出绩效评价管理暂行办法》（新财预〔2018〕189号）；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（5）《政府会计制度》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（6）《退役军人事务局预算管理制度》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（7）《昌吉州退役军人事务局绩效工作制度》</w:t>
      </w:r>
    </w:p>
    <w:p w14:paraId="4244C70E">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16812EAC">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（4）公开透明。绩效评价结果应依法依规公开，并自觉接受社会监督。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2.绩效评价指标体系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3.评价方法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以及公众评判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4.评价标准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11EC455F">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（三）绩效评价工作过程</w:t>
      </w:r>
    </w:p>
    <w:p w14:paraId="4C2BE2A6">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1.前期准备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1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冯亚新（评价小组组长）：主要负责项目策划和监督，全面负责项目绩效评价办稿的最终质量，对评估人员出具的最终报告质量进行复核，确保评估结果的客观性；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刘永强（评价小组组员）：主要负责资料的收集，取证、数据统计分析；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妥明（评价小组组员）：主要负责主要负责项目报告的制定，指标的研判，数据分析及报告撰写。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2024年3月5日-3月25日，评价工作进入实施阶段。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质量管理、项目建设及验收等相关资料，完成绩效评价内容所需的印证资料整理，所有数据经核查后统计汇总。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经调研了解，该项目主要受益群体包括州直106名自主择业军转干部。我们根据绩效评价目标和绩效指标体系，设计满意度调查问卷进行问卷调查，其中106名自主择业军转干部受益对象共选取样本20人，共发放问卷20份，最终收回20份。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3.分析评价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2024年3月9日-3月15日，评价小组按照绩效评价的原则和规范，对取得的资料进行审查核实，对采集的数据进行分析，按照绩效评价指标评分表逐项进行打分、分析、汇总各方评价结果。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2024年3月16日-3月30日，评价小组撰写绩效评价报告，按照新疆维吾尔自治区财政绩效管理信息系统绩效评价模块中统一格式和文本框架撰写绩效评价报告并提交审核。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45273841">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4F596455">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评价，本项目较大程度达成年初设立的绩效目标，在实施过程中取得了良好的成效，具体表现在：通过项目的实施，完成缴纳职工基本医疗保险、缴纳大额医疗、发放取暖费、缴纳公务员医疗补助；服务退役军人能力得到提升，促进社会和谐、无信访事件，提高了退役军人获得感、荣誉感，提升了退役军人满意度。但在实施过程中也存在一些不足：在项目实施事前过程中需要整合各方面因素，加大预算管理制度建设，贯彻落实相关办法制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22个，实现三级指标数量22个，总体完成率为100.00%，最终评分结果：总分为100.00分，绩效评级为“优”。综合评价结论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项目决策类指标共设置6个，满分指标6个，得分率100.00%；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过程管理类指标共设置5个，满分指标5个，得分率100.00%；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项目产出类指标共设置8个，满分指标8个，得分率100.00%；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项目效益类指标共设置3个，满分指标3个，得分率100.00%。</w:t>
      </w:r>
    </w:p>
    <w:p w14:paraId="60C80B9B">
      <w:pPr>
        <w:spacing w:line="540" w:lineRule="exact"/>
        <w:ind w:firstLine="640"/>
        <w:rPr>
          <w:rStyle w:val="18"/>
          <w:rFonts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21F335B9">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287486FD">
      <w:pPr>
        <w:tabs>
          <w:tab w:val="center" w:pos="4295"/>
        </w:tabs>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项目决策类指标由3个二级指标和6个三级指标构成，权重分21.00分，实际得分21.00分。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1.项目立项情况分析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退役军人保障法》第九条：退役军人保障工作所需经费由中央和地方共同承担。第五十条：退役军人依法参加当地政府的养老、医疗、工伤、失业等社会保险，并享受相应待遇。《军队转业干部安置暂行办法》第五十九条：到地方后，未被党和国家机关、团体、企业事业单位录用聘用期间的住房补贴和医疗保障所需经费，由安置地政府解决。《关于自主择业的军队转业干部安置管理若干问题的意见》第四部分参加基本医疗保险所需缴纳的单位缴费部分和公务员医疗补助所需经费由安置地政府解决。《关于印发&lt;新疆维吾尔自治区贯彻关于自主择业的军队转业干部安置管理若干问题的意见的实施意见&gt;的通知》(新转联〔2001〕6号)：自主择业军转干部医疗保障属单位缴费和按国家公务员补助的部分及冬季取暖费由同级财政纳入当年财政预算，符合行业发展规划和政策要求；本项目立项符合《昌吉回族自治州退役军人事务局单位配置内设机构和人员编制规定》中职责范围中的“第三条 自治州退役军人事务局贯彻落实党中央关于退役军人工作的苏针政策和决策部署以及自治区、自治州党委工作要求，在履行职责过程中坚持和加强党对退役军人工作的集中统一领导。(二)负责军队转业干部、复员干部、离休退休干部、役士兵和无军籍退休退职职工的移交安置工作和自主择业退役军人服务管理工作;拟订退役军人留昌安置优惠优待政策措施”，属于我单位履职所需；根据《财政资金直接支付申请书》，本项目资金性质为“公共财政预算”功能分类为“2080905军队转业干部安置”经济分类为“医疗费补助”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属于专项资金安排项目，不涉及事前绩效评估、可行性研究以及风险评估，由我单位严格按照《关于下达昌吉州本级预算单位2023年部门预算的通知》（昌州财行〔2023〕1号）文件要求实施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综上所述，本指标满分为3.00分，根据评分标准得3.00分，本项目立项程序规范。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2.绩效目标情况分析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为州直现有自主择业军转干部106人缴纳基本医疗保险费、公务员医疗补助、大病医疗保险金、取暖费；本项目实际工作内容为：为州直现有自主择业军转干部106人缴纳基本医疗保险费、公务员医疗补助、大病医疗保险金、取暖费；绩效目标与实际工作内容一致，两者具有相关性;本项目按照绩效目标完成了数量指标、质量指标、时效指标、成本指标，使退役军人满意度提升，能力得到提升，退役军人获得感、幸福感逐年提升，年度绩效目标完成，预期产出效益和效果符合正常的业绩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4个，二级指标5个，三级指标11个，定量指标9个，定性指标2个，指标量化率为81.82%，量化率达70.00%以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3.资金投入情况分析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本项目预算编制通过政府相关政策要求得出，即预算编制较科学且经过论证；</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106名州直自主择业军转干部106人缴纳基本医疗保险，项目实际内容为州直自主择业军转干部106人缴纳基本医疗保险，预算申请与《自主择业军转干部地方配套经费项目实施方案》中涉及的项目内容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本项目预算申请资金184.80万元，我单位在预算申请中严格按照单位标准和数量进行核算，其中：（一）基本医疗保险费：[16000元/月×8%×12个月〕×106人等于1,628,160.00元； （二）公务员医疗补助：[16000元/月×0.5%×12个月〕×106人等于101,760.00元； （三）大病医疗保险金：5元/月×12个月×106人等于6,360.00元； （四）取暖费：（935元/人×35人+1100元/人×70人+1430元/人×1人）等于111,155.00元；本项目预算额度测算依据充分，严格按照标准编制，预算确定资金量与实际工作任务相匹配；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（2）资金分配合理性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申请自主择业军转干部地方配套经费项目资金的请示》和《自主择业军转干部地方配套经费项目实施方案》为依据进行资金分配，预算资金分配依据充分。根据《关于下达昌吉州本级预算单位2023年部门预算的通知》（昌州财行〔2023〕1号）》文件显示，本项目实际到位资金184.80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244FA7DB">
      <w:pPr>
        <w:spacing w:line="540" w:lineRule="exact"/>
        <w:ind w:firstLine="567" w:firstLineChars="181"/>
        <w:rPr>
          <w:rStyle w:val="18"/>
          <w:rFonts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10CD6332">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项目过程管理类指标由2个二级指标和5个三级指标构成，权重分19.00分，实际得分19.00分。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1.资金管理情况分析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184.80万元，其中：本级财政安排资金184.80万元，其他资金0.00万元，实际到位资金184.80万元，资金到位率等于（实际到位资金/预算资金）×100.00%等于（184.80/184.80）*100.00%等于100.00%。得分等于资金到位率*分值等于100.00%*4等于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本项目实际支出资金183.56万元，预算执行率等于（实际支出资金/实际到位资金）×100.00%等于（184.80/184.80）*100.00%等于100.00%。得分等于预算执行率*分值等于100.00%*5等于5分。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通过检查本项目签订的合同、资金申请文件、发票等财务付款凭证，得出本项目资金支出符合国家财经法规、《政府会计制度》、《退役军人事务局预算管理制度》 、《昌吉州退役军人事务局绩效工作制度》，资金的拨付有完整的审批程序和手续，资金实际使用方向与预算批复用途一致，不存在截留、挤占、挪用、虚列支出的情况。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综上所述，本指标满分为4.00分，根据评分标准得4.00分，资金支出符合我单位财务管理制度规定。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我单位已制定《退役军人事务局预算管理制度》 、《昌吉州退役军人事务局绩效工作制度》，上述已建立的制度均符合行政事业单位内控管理要求，财务和业务管理制度合法、合规、完整，本项目执行符合上述制度规定。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综上所述，本指标满分为2.00分，根据评分标准得2.00分，项目制度建设健全。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（2）制度执行有效性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自主择业军转干部地方配套经费项目工作领导小组，由党组书记王效文任组长，负责项目的组织工作；刘永强任副组长，负责项目的实施工作；组员包括：妥明，主要负责项目监督管理、验收以及资金核拨等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综上所述，本指标满分为4.00分，根据评分标准得4.00分，本项目所建立制度执行有效。</w:t>
      </w:r>
    </w:p>
    <w:p w14:paraId="11285963">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456A1A4A">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项目产出类指标由3个二级指标和8个三级指标构成，权重分30.0分，实际得分30.00分。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1.数量指标完成情况分析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“缴纳职工基本医疗保险人数（人数）”指标：预期指标值为“大于等于106人”，实际完成指标值为“等于106人”，指标完成率为100.00%。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“缴纳大额医疗人数（人数）”指标：预期指标值为“大于等于106人”，实际完成指标值为“等于106人”，指标完成率为100.00%。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“发放取暖费（人数）”指标：预期指标值为“大于等于106人”，实际完成指标值为“等于106人”，指标完成率为100.00%。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“缴纳公务员医疗补助人数（人数）”指标：预期指标值为“大于等于106人”，实际完成指标值为“等于106人”，指标完成率为100.00%。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2.质量指标完成情况分析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“经费完成率（%）”指标：预期指标值为“等于100.00%”，实际完成指标值为“等于100.00%”，指标完成率为100.00%。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综上所述，本指标满分为2.0分，根据评分标准得2.0分。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 时效指标完成情况分析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4.成本指标完成情况分析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“大病医疗保险金” 指标：预期指标值为“等于100.00%”，实际完成指标值为“等于100.00%”，指标完成率为100.00%。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“基本医疗保险费” 指标：预期指标值为“等于100.00%”，实际完成指标值为“等于100.00%”，指标完成率为100.00%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“公务员医疗补助” 指标：预期指标值为“等于100.00%”，实际完成指标值为“等于100.00%”，指标完成率为100.00%综上所述，本指标满分为4.00分，根据评分标准得4.00分。</w:t>
      </w:r>
    </w:p>
    <w:p w14:paraId="63CED9E0">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165A4A56">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项目效益类指标由2个二级指标和3个三级指标构成，权重分30.00分，实际得分30.00分。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1.经济效益完成情况分析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2.社会效益完成情况分析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“服务退役军人能力得到提升，促进社会和谐、无信访事件”指标：预期指标值为“提高”，实际完成指标值为“基本达成目标”，指标完成率为100.00%。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“退役军人获得感、荣誉感”指标：预期指标值为“提升”，实际完成指标值为“基本达成目标”，指标完成率为100.00%。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3.生态效益完成情况分析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4.满意度完成情况分析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“退役军人满意度”指标：预期指标值为“大于等于95.00%”，实际完成指标值为“等于96.67%”，指标完成率为100.00%。（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w:t>
      </w:r>
    </w:p>
    <w:p w14:paraId="7EC81E3D">
      <w:pPr>
        <w:spacing w:line="540" w:lineRule="exact"/>
        <w:ind w:firstLine="567"/>
        <w:rPr>
          <w:rStyle w:val="18"/>
          <w:rFonts w:ascii="楷体" w:hAnsi="楷体" w:eastAsia="楷体"/>
          <w:spacing w:val="-4"/>
          <w:sz w:val="32"/>
          <w:szCs w:val="32"/>
        </w:rPr>
      </w:pPr>
    </w:p>
    <w:p w14:paraId="62E225B8">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lang w:val="en-US" w:eastAsia="zh-CN"/>
        </w:rPr>
        <w:t>预算执行进度与绩效指标偏差</w:t>
      </w:r>
    </w:p>
    <w:p w14:paraId="76E5C5F4">
      <w:pPr>
        <w:spacing w:line="540" w:lineRule="exact"/>
        <w:ind w:firstLine="567"/>
        <w:rPr>
          <w:rStyle w:val="18"/>
          <w:rFonts w:hint="default" w:ascii="黑体" w:hAnsi="黑体" w:eastAsia="黑体"/>
          <w:b w:val="0"/>
          <w:spacing w:val="-4"/>
          <w:sz w:val="32"/>
          <w:szCs w:val="32"/>
          <w:lang w:val="en-US" w:eastAsia="zh-CN"/>
        </w:rPr>
      </w:pPr>
      <w:r>
        <w:rPr>
          <w:rStyle w:val="18"/>
          <w:rFonts w:hint="eastAsia" w:ascii="楷体" w:hAnsi="楷体" w:eastAsia="楷体"/>
          <w:b w:val="0"/>
          <w:bCs w:val="0"/>
          <w:spacing w:val="-4"/>
          <w:sz w:val="32"/>
          <w:szCs w:val="32"/>
        </w:rPr>
        <w:t>本项目年初预算资金总额为184.80万元，全年预算数为184.80万元，全年执行数为184.80万元，预算执行率为100.00%。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本项目共设置三级指标数量22个，满分指标数量22个，扣分指标数量0个，经分析计算所有三级指标完成率得出，本项目总体完成率为100.00%。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综上所述本项目预算执行进度与总体完成进度之间的偏差为0.000%。</w:t>
      </w:r>
    </w:p>
    <w:p w14:paraId="1D727756">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09688BFA">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按照安置地政府的有关规定，统一参加安置地的基本医疗保险，并享受公务员医疗补助待遇。参加基本医疗保险所需缴纳的单位缴费部分和公务员医疗补助，由安置地军队转业干部安置工作部门向当地统筹地区社会保险经办机构缴纳，所需经费由安置地政府解决，自主择业享受公务员医保待遇人员名单进行保密管理。（二）存在的问题及原因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一是对于退役安置工作的宣传力度不够。</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二是对档案工作重视程度不高，意识淡薄。单位人员对绩效档案管理工作重视程度不够，不注重关键时间节点材料的鉴定归档，造成绩效管理工作档案缺失。</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三是单位人员对档案管理工作缺少针对性和目的性，对绩效档案工作重要性的认识不足，缺乏熟练的业务知识，使绩效档案管理与实际业务存在一定偏差，未发挥其综合价值。</w:t>
      </w:r>
    </w:p>
    <w:p w14:paraId="07F9EFDD">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七</w:t>
      </w:r>
      <w:r>
        <w:rPr>
          <w:rStyle w:val="18"/>
          <w:rFonts w:hint="eastAsia" w:ascii="黑体" w:hAnsi="黑体" w:eastAsia="黑体"/>
          <w:b w:val="0"/>
          <w:spacing w:val="-4"/>
          <w:sz w:val="32"/>
          <w:szCs w:val="32"/>
        </w:rPr>
        <w:t>、有关建议</w:t>
      </w:r>
    </w:p>
    <w:p w14:paraId="790C4812">
      <w:pPr>
        <w:spacing w:line="540" w:lineRule="exact"/>
        <w:ind w:firstLine="567"/>
        <w:rPr>
          <w:rStyle w:val="18"/>
          <w:rFonts w:ascii="楷体" w:hAnsi="楷体" w:eastAsia="楷体"/>
          <w:spacing w:val="-4"/>
          <w:sz w:val="32"/>
          <w:szCs w:val="32"/>
        </w:rPr>
      </w:pPr>
      <w:r>
        <w:rPr>
          <w:rStyle w:val="18"/>
          <w:rFonts w:hint="eastAsia" w:ascii="楷体" w:hAnsi="楷体" w:eastAsia="楷体"/>
          <w:b w:val="0"/>
          <w:bCs w:val="0"/>
          <w:spacing w:val="-4"/>
          <w:sz w:val="32"/>
          <w:szCs w:val="32"/>
        </w:rPr>
        <w:t>继续与主流媒体、网络平台加强协调联动，建立常态化宣传机制，全方位传播退役军人安置工作的必要性。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加强学习《中华人民共和国预算法》、《财政支出绩效评价管理暂行办法》（财预〔2020〕10号）、《中共中央国务院关于全面实施预算绩效管理的意见》（中发〔2018〕34号）、等相关规定，严格按照预算执行精确编制目标任务，发现问题及时调整。</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扎实推进档案规范化建设，提升档案管理水平。进一步完善项目评价资料。项目启动时同步做好档案的归纳与整理，及时整理、收集、汇总，健全档案资料。严格落实自治区关于绩效管理工作档案资料归档的相关要求，强化收集力度，确保归档资料的完整齐全</w:t>
      </w:r>
    </w:p>
    <w:p w14:paraId="01C30C5B">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八</w:t>
      </w:r>
      <w:r>
        <w:rPr>
          <w:rStyle w:val="18"/>
          <w:rFonts w:hint="eastAsia" w:ascii="黑体" w:hAnsi="黑体" w:eastAsia="黑体"/>
          <w:b w:val="0"/>
          <w:spacing w:val="-4"/>
          <w:sz w:val="32"/>
          <w:szCs w:val="32"/>
        </w:rPr>
        <w:t>、其他需要说明的问题</w:t>
      </w:r>
    </w:p>
    <w:p w14:paraId="7F8DDA9B">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（三）评价结果分别编入政府决算和部门预算，报送本级人民代表大会常务委员会，并依法予以公开。</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（四）我单位对上述项目支出绩效评价报告内反映内容的真实性、完整性负责，接受上级部门及社会公众监督。</w:t>
      </w:r>
    </w:p>
    <w:p w14:paraId="6185839C">
      <w:pPr>
        <w:spacing w:line="540" w:lineRule="exact"/>
        <w:ind w:firstLine="567"/>
        <w:rPr>
          <w:rStyle w:val="18"/>
          <w:rFonts w:ascii="仿宋" w:hAnsi="仿宋" w:eastAsia="仿宋"/>
          <w:b w:val="0"/>
          <w:spacing w:val="-4"/>
          <w:sz w:val="32"/>
          <w:szCs w:val="32"/>
        </w:rPr>
      </w:pPr>
    </w:p>
    <w:p w14:paraId="0B0E949F">
      <w:pPr>
        <w:spacing w:line="540" w:lineRule="exact"/>
        <w:ind w:firstLine="567"/>
        <w:rPr>
          <w:rStyle w:val="18"/>
          <w:rFonts w:ascii="仿宋" w:hAnsi="仿宋" w:eastAsia="仿宋"/>
          <w:b w:val="0"/>
          <w:spacing w:val="-4"/>
          <w:sz w:val="32"/>
          <w:szCs w:val="32"/>
        </w:rPr>
      </w:pPr>
    </w:p>
    <w:p w14:paraId="43CD7A73">
      <w:pPr>
        <w:spacing w:line="540" w:lineRule="exact"/>
        <w:ind w:firstLine="567"/>
        <w:rPr>
          <w:rStyle w:val="18"/>
          <w:rFonts w:ascii="仿宋" w:hAnsi="仿宋" w:eastAsia="仿宋"/>
          <w:b w:val="0"/>
          <w:spacing w:val="-4"/>
          <w:sz w:val="32"/>
          <w:szCs w:val="32"/>
        </w:rPr>
      </w:pPr>
    </w:p>
    <w:p w14:paraId="400FE57B">
      <w:pPr>
        <w:spacing w:line="540" w:lineRule="exact"/>
        <w:ind w:firstLine="567"/>
        <w:rPr>
          <w:rStyle w:val="18"/>
          <w:rFonts w:ascii="仿宋" w:hAnsi="仿宋" w:eastAsia="仿宋"/>
          <w:b w:val="0"/>
          <w:spacing w:val="-4"/>
          <w:sz w:val="32"/>
          <w:szCs w:val="32"/>
        </w:rPr>
      </w:pPr>
    </w:p>
    <w:p w14:paraId="6B4E1EC2">
      <w:pPr>
        <w:spacing w:line="540" w:lineRule="exact"/>
        <w:ind w:firstLine="567"/>
        <w:rPr>
          <w:rStyle w:val="18"/>
          <w:rFonts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2406DA2-1D2E-4CA8-AEDF-9550DEEE374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5DD996A-C808-4246-A2DA-842EC19C563B}"/>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A7386749-7B5A-48EA-A1F8-E7AB9531A1E9}"/>
  </w:font>
  <w:font w:name="华文中宋">
    <w:panose1 w:val="02010600040101010101"/>
    <w:charset w:val="86"/>
    <w:family w:val="auto"/>
    <w:pitch w:val="default"/>
    <w:sig w:usb0="00000287" w:usb1="080F0000" w:usb2="00000000" w:usb3="00000000" w:csb0="0004009F" w:csb1="DFD70000"/>
    <w:embedRegular r:id="rId4" w:fontKey="{741D60A5-C6C2-45FD-A09F-C9EE2FD5C7B3}"/>
  </w:font>
  <w:font w:name="方正小标宋_GBK">
    <w:panose1 w:val="02000000000000000000"/>
    <w:charset w:val="86"/>
    <w:family w:val="script"/>
    <w:pitch w:val="default"/>
    <w:sig w:usb0="A00002BF" w:usb1="38CF7CFA" w:usb2="00082016" w:usb3="00000000" w:csb0="00040001" w:csb1="00000000"/>
    <w:embedRegular r:id="rId5" w:fontKey="{F5DDAB2C-7A1E-446F-A9B7-5F76433B278B}"/>
  </w:font>
  <w:font w:name="仿宋_GB2312">
    <w:panose1 w:val="02010609030101010101"/>
    <w:charset w:val="86"/>
    <w:family w:val="modern"/>
    <w:pitch w:val="default"/>
    <w:sig w:usb0="00000001" w:usb1="080E0000" w:usb2="00000000" w:usb3="00000000" w:csb0="00040000" w:csb1="00000000"/>
    <w:embedRegular r:id="rId6" w:fontKey="{0DCDDD38-69A6-4BFA-8A79-73E2B775969D}"/>
  </w:font>
  <w:font w:name="楷体">
    <w:panose1 w:val="02010609060101010101"/>
    <w:charset w:val="86"/>
    <w:family w:val="modern"/>
    <w:pitch w:val="default"/>
    <w:sig w:usb0="800002BF" w:usb1="38CF7CFA" w:usb2="00000016" w:usb3="00000000" w:csb0="00040001" w:csb1="00000000"/>
    <w:embedRegular r:id="rId7" w:fontKey="{363DEAFC-E531-4C85-A031-A46BFFDC875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41EAFF84">
        <w:pPr>
          <w:pStyle w:val="12"/>
          <w:jc w:val="center"/>
        </w:pPr>
        <w:r>
          <w:fldChar w:fldCharType="begin"/>
        </w:r>
        <w:r>
          <w:instrText xml:space="preserve">PAGE   \* MERGEFORMAT</w:instrText>
        </w:r>
        <w:r>
          <w:fldChar w:fldCharType="separate"/>
        </w:r>
        <w:r>
          <w:rPr>
            <w:lang w:val="zh-CN"/>
          </w:rPr>
          <w:t>2</w:t>
        </w:r>
        <w:r>
          <w:fldChar w:fldCharType="end"/>
        </w:r>
      </w:p>
    </w:sdtContent>
  </w:sdt>
  <w:p w14:paraId="5374D511">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EE2341"/>
    <w:rsid w:val="0BFB189F"/>
    <w:rsid w:val="11BD75F7"/>
    <w:rsid w:val="13BE561A"/>
    <w:rsid w:val="15392994"/>
    <w:rsid w:val="18FE139B"/>
    <w:rsid w:val="25D94D2D"/>
    <w:rsid w:val="3029612C"/>
    <w:rsid w:val="32A221C5"/>
    <w:rsid w:val="33F20F2A"/>
    <w:rsid w:val="34C44675"/>
    <w:rsid w:val="3B5B5607"/>
    <w:rsid w:val="3CE21B3C"/>
    <w:rsid w:val="4D2606A1"/>
    <w:rsid w:val="51830480"/>
    <w:rsid w:val="53A616BE"/>
    <w:rsid w:val="54662BFB"/>
    <w:rsid w:val="62051CA5"/>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Balloon Text"/>
    <w:basedOn w:val="1"/>
    <w:link w:val="45"/>
    <w:semiHidden/>
    <w:unhideWhenUsed/>
    <w:uiPriority w:val="99"/>
    <w:rPr>
      <w:sz w:val="18"/>
      <w:szCs w:val="18"/>
    </w:rPr>
  </w:style>
  <w:style w:type="paragraph" w:styleId="12">
    <w:name w:val="footer"/>
    <w:basedOn w:val="1"/>
    <w:link w:val="44"/>
    <w:unhideWhenUsed/>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uiPriority w:val="10"/>
    <w:rPr>
      <w:rFonts w:asciiTheme="majorHAnsi" w:hAnsiTheme="majorHAnsi" w:eastAsiaTheme="majorEastAsia"/>
      <w:b/>
      <w:bCs/>
      <w:kern w:val="28"/>
      <w:sz w:val="32"/>
      <w:szCs w:val="32"/>
    </w:rPr>
  </w:style>
  <w:style w:type="character" w:customStyle="1" w:styleId="30">
    <w:name w:val="副标题 Char"/>
    <w:basedOn w:val="17"/>
    <w:link w:val="14"/>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uiPriority w:val="99"/>
    <w:rPr>
      <w:rFonts w:ascii="Calibri" w:hAnsi="Calibri" w:eastAsia="宋体"/>
      <w:kern w:val="2"/>
      <w:sz w:val="18"/>
      <w:szCs w:val="18"/>
    </w:rPr>
  </w:style>
  <w:style w:type="character" w:customStyle="1" w:styleId="44">
    <w:name w:val="页脚 Char"/>
    <w:basedOn w:val="17"/>
    <w:link w:val="12"/>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115</Words>
  <Characters>123</Characters>
  <Lines>4</Lines>
  <Paragraphs>1</Paragraphs>
  <TotalTime>2</TotalTime>
  <ScaleCrop>false</ScaleCrop>
  <LinksUpToDate>false</LinksUpToDate>
  <CharactersWithSpaces>135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2026-09-22T05:13:41Z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D4BFFE65209C49D59C1399C10B81F7B2_13</vt:lpwstr>
  </property>
  <property fmtid="{D5CDD505-2E9C-101B-9397-08002B2CF9AE}" pid="4" name="KSOTemplateDocerSaveRecord">
    <vt:lpwstr>eyJoZGlkIjoiM2Q5NDlmNDc3N2ZkYzk3ZGJmOTUwNTM0Mzc5MTVlNDMiLCJ1c2VySWQiOiIzMjQ5NjUzODcifQ==</vt:lpwstr>
  </property>
</Properties>
</file>