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6196B">
      <w:pPr>
        <w:spacing w:line="540" w:lineRule="exact"/>
        <w:jc w:val="left"/>
        <w:rPr>
          <w:rFonts w:hint="eastAsia"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7F3A11DB">
      <w:pPr>
        <w:spacing w:line="540" w:lineRule="exact"/>
        <w:jc w:val="center"/>
        <w:rPr>
          <w:rFonts w:hint="eastAsia" w:ascii="华文中宋" w:hAnsi="华文中宋" w:eastAsia="华文中宋" w:cs="宋体"/>
          <w:b/>
          <w:kern w:val="0"/>
          <w:sz w:val="52"/>
          <w:szCs w:val="52"/>
        </w:rPr>
      </w:pPr>
    </w:p>
    <w:p w14:paraId="71CC05A7">
      <w:pPr>
        <w:spacing w:line="540" w:lineRule="exact"/>
        <w:jc w:val="center"/>
        <w:rPr>
          <w:rFonts w:hint="eastAsia" w:ascii="华文中宋" w:hAnsi="华文中宋" w:eastAsia="华文中宋" w:cs="宋体"/>
          <w:b/>
          <w:kern w:val="0"/>
          <w:sz w:val="52"/>
          <w:szCs w:val="52"/>
        </w:rPr>
      </w:pPr>
    </w:p>
    <w:p w14:paraId="3B01C4B0">
      <w:pPr>
        <w:spacing w:line="540" w:lineRule="exact"/>
        <w:jc w:val="center"/>
        <w:rPr>
          <w:rFonts w:hint="eastAsia" w:ascii="华文中宋" w:hAnsi="华文中宋" w:eastAsia="华文中宋" w:cs="宋体"/>
          <w:b/>
          <w:kern w:val="0"/>
          <w:sz w:val="52"/>
          <w:szCs w:val="52"/>
        </w:rPr>
      </w:pPr>
    </w:p>
    <w:p w14:paraId="4DE378DE">
      <w:pPr>
        <w:spacing w:line="540" w:lineRule="exact"/>
        <w:jc w:val="center"/>
        <w:rPr>
          <w:rFonts w:hint="eastAsia" w:ascii="华文中宋" w:hAnsi="华文中宋" w:eastAsia="华文中宋" w:cs="宋体"/>
          <w:b/>
          <w:kern w:val="0"/>
          <w:sz w:val="52"/>
          <w:szCs w:val="52"/>
        </w:rPr>
      </w:pPr>
    </w:p>
    <w:p w14:paraId="2AA0A9D4">
      <w:pPr>
        <w:spacing w:line="540" w:lineRule="exact"/>
        <w:jc w:val="center"/>
        <w:rPr>
          <w:rFonts w:hint="eastAsia" w:ascii="华文中宋" w:hAnsi="华文中宋" w:eastAsia="华文中宋" w:cs="宋体"/>
          <w:b/>
          <w:kern w:val="0"/>
          <w:sz w:val="52"/>
          <w:szCs w:val="52"/>
        </w:rPr>
      </w:pPr>
    </w:p>
    <w:p w14:paraId="709FE0EF">
      <w:pPr>
        <w:spacing w:line="540" w:lineRule="exact"/>
        <w:jc w:val="center"/>
        <w:rPr>
          <w:rFonts w:hint="eastAsia" w:ascii="华文中宋" w:hAnsi="华文中宋" w:eastAsia="华文中宋" w:cs="宋体"/>
          <w:b/>
          <w:kern w:val="0"/>
          <w:sz w:val="52"/>
          <w:szCs w:val="52"/>
        </w:rPr>
      </w:pPr>
    </w:p>
    <w:p w14:paraId="4085367F">
      <w:pPr>
        <w:spacing w:line="540" w:lineRule="exact"/>
        <w:jc w:val="center"/>
        <w:rPr>
          <w:rFonts w:hint="eastAsia"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518881C6">
      <w:pPr>
        <w:spacing w:line="540" w:lineRule="exact"/>
        <w:jc w:val="center"/>
        <w:rPr>
          <w:rFonts w:hint="eastAsia" w:ascii="华文中宋" w:hAnsi="华文中宋" w:eastAsia="华文中宋" w:cs="宋体"/>
          <w:b/>
          <w:kern w:val="0"/>
          <w:sz w:val="52"/>
          <w:szCs w:val="52"/>
        </w:rPr>
      </w:pPr>
    </w:p>
    <w:p w14:paraId="7CE76863">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549C878A">
      <w:pPr>
        <w:spacing w:line="540" w:lineRule="exact"/>
        <w:jc w:val="center"/>
        <w:rPr>
          <w:rFonts w:hint="eastAsia" w:hAnsi="宋体" w:eastAsia="仿宋_GB2312" w:cs="宋体"/>
          <w:kern w:val="0"/>
          <w:sz w:val="30"/>
          <w:szCs w:val="30"/>
        </w:rPr>
      </w:pPr>
    </w:p>
    <w:p w14:paraId="1408906D">
      <w:pPr>
        <w:spacing w:line="540" w:lineRule="exact"/>
        <w:jc w:val="center"/>
        <w:rPr>
          <w:rFonts w:hint="eastAsia" w:hAnsi="宋体" w:eastAsia="仿宋_GB2312" w:cs="宋体"/>
          <w:kern w:val="0"/>
          <w:sz w:val="30"/>
          <w:szCs w:val="30"/>
        </w:rPr>
      </w:pPr>
    </w:p>
    <w:p w14:paraId="27997087">
      <w:pPr>
        <w:spacing w:line="540" w:lineRule="exact"/>
        <w:jc w:val="center"/>
        <w:rPr>
          <w:rFonts w:hint="eastAsia" w:hAnsi="宋体" w:eastAsia="仿宋_GB2312" w:cs="宋体"/>
          <w:kern w:val="0"/>
          <w:sz w:val="30"/>
          <w:szCs w:val="30"/>
        </w:rPr>
      </w:pPr>
    </w:p>
    <w:p w14:paraId="447EB718">
      <w:pPr>
        <w:spacing w:line="540" w:lineRule="exact"/>
        <w:jc w:val="center"/>
        <w:rPr>
          <w:rFonts w:hint="eastAsia" w:hAnsi="宋体" w:eastAsia="仿宋_GB2312" w:cs="宋体"/>
          <w:kern w:val="0"/>
          <w:sz w:val="30"/>
          <w:szCs w:val="30"/>
        </w:rPr>
      </w:pPr>
    </w:p>
    <w:p w14:paraId="4C42FB92">
      <w:pPr>
        <w:spacing w:line="540" w:lineRule="exact"/>
        <w:jc w:val="center"/>
        <w:rPr>
          <w:rFonts w:hint="eastAsia" w:hAnsi="宋体" w:eastAsia="仿宋_GB2312" w:cs="宋体"/>
          <w:kern w:val="0"/>
          <w:sz w:val="30"/>
          <w:szCs w:val="30"/>
        </w:rPr>
      </w:pPr>
    </w:p>
    <w:p w14:paraId="40B9E070">
      <w:pPr>
        <w:spacing w:line="540" w:lineRule="exact"/>
        <w:jc w:val="center"/>
        <w:rPr>
          <w:rFonts w:hint="eastAsia" w:hAnsi="宋体" w:eastAsia="仿宋_GB2312" w:cs="宋体"/>
          <w:kern w:val="0"/>
          <w:sz w:val="30"/>
          <w:szCs w:val="30"/>
        </w:rPr>
      </w:pPr>
    </w:p>
    <w:p w14:paraId="35E3FEB5">
      <w:pPr>
        <w:spacing w:line="540" w:lineRule="exact"/>
        <w:rPr>
          <w:rFonts w:hint="eastAsia" w:hAnsi="宋体" w:eastAsia="仿宋_GB2312" w:cs="宋体"/>
          <w:kern w:val="0"/>
          <w:sz w:val="30"/>
          <w:szCs w:val="30"/>
        </w:rPr>
      </w:pPr>
    </w:p>
    <w:p w14:paraId="06AF2D50">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 xml:space="preserve">     </w:t>
      </w:r>
    </w:p>
    <w:p w14:paraId="096A1B73">
      <w:pPr>
        <w:spacing w:line="700" w:lineRule="exact"/>
        <w:ind w:firstLine="900" w:firstLineChars="250"/>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公益诉讼专项经费</w:t>
      </w:r>
    </w:p>
    <w:p w14:paraId="46ABC5E5">
      <w:pPr>
        <w:spacing w:line="540" w:lineRule="exact"/>
        <w:ind w:firstLine="567"/>
        <w:rPr>
          <w:rFonts w:hint="eastAsia"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昌吉回族自治州人民检察院</w:t>
      </w:r>
    </w:p>
    <w:p w14:paraId="46D3C818">
      <w:pPr>
        <w:spacing w:line="540" w:lineRule="exact"/>
        <w:ind w:firstLine="900" w:firstLineChars="250"/>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昌吉回族自治州人民检察院</w:t>
      </w:r>
    </w:p>
    <w:p w14:paraId="45B01BC2">
      <w:pPr>
        <w:spacing w:line="540" w:lineRule="exact"/>
        <w:ind w:firstLine="900" w:firstLineChars="250"/>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谭婷</w:t>
      </w:r>
    </w:p>
    <w:p w14:paraId="1025AF8E">
      <w:pPr>
        <w:spacing w:line="540" w:lineRule="exact"/>
        <w:ind w:left="273" w:firstLine="567"/>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2024年03月26日</w:t>
      </w:r>
    </w:p>
    <w:p w14:paraId="10CC9868">
      <w:pPr>
        <w:spacing w:line="700" w:lineRule="exact"/>
        <w:ind w:firstLine="708" w:firstLineChars="236"/>
        <w:jc w:val="left"/>
        <w:rPr>
          <w:rFonts w:hint="eastAsia" w:hAnsi="宋体" w:eastAsia="仿宋_GB2312" w:cs="宋体"/>
          <w:kern w:val="0"/>
          <w:sz w:val="30"/>
          <w:szCs w:val="30"/>
        </w:rPr>
      </w:pPr>
    </w:p>
    <w:p w14:paraId="13FF7BA4">
      <w:pPr>
        <w:spacing w:line="540" w:lineRule="exact"/>
        <w:rPr>
          <w:rStyle w:val="18"/>
          <w:rFonts w:hint="eastAsia" w:ascii="黑体" w:hAnsi="黑体" w:eastAsia="黑体"/>
          <w:b w:val="0"/>
          <w:spacing w:val="-4"/>
          <w:sz w:val="32"/>
          <w:szCs w:val="32"/>
        </w:rPr>
      </w:pPr>
    </w:p>
    <w:p w14:paraId="4B36FC59">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177BBDE6">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0130D2B0">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最高人民检察院《“十四五”时期检务保障工作发展规划》和《关于做好检察公益诉讼技术支持保障工作的通知》等政策文件要求，指导和办理公益诉讼案件；开展公益诉讼案件快速检测；公益诉讼案件委托鉴定；对到期未整改案件的提起诉讼；案件按时限办及时。提升人民对国有林地和草场的保护意识；被破坏的草场和林地得以修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（1）项目名称：公益诉讼专项经费项目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（2）项目主要内容：指导和办理公益诉讼案件；开展公益诉讼案件快速检测；公益诉讼案件委托鉴定；对到期未整改案件的提起诉讼；案件按时限办及时。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项目的实施指导和办理公益诉讼案件427件；对到期未整改案件的提起诉讼率100.00%；案件按时限办理达标率100.00%；挽回国有损失606.00万元。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本项目于2023年1月开始实施，</w:t>
      </w:r>
      <w:r>
        <w:rPr>
          <w:rStyle w:val="18"/>
          <w:rFonts w:hint="eastAsia" w:ascii="楷体" w:hAnsi="楷体" w:eastAsia="楷体"/>
          <w:b w:val="0"/>
          <w:bCs w:val="0"/>
          <w:spacing w:val="-4"/>
          <w:sz w:val="32"/>
          <w:szCs w:val="32"/>
          <w:lang w:eastAsia="zh-CN"/>
        </w:rPr>
        <w:t>截至2023年</w:t>
      </w:r>
      <w:r>
        <w:rPr>
          <w:rStyle w:val="18"/>
          <w:rFonts w:hint="eastAsia" w:ascii="楷体" w:hAnsi="楷体" w:eastAsia="楷体"/>
          <w:b w:val="0"/>
          <w:bCs w:val="0"/>
          <w:spacing w:val="-4"/>
          <w:sz w:val="32"/>
          <w:szCs w:val="32"/>
        </w:rPr>
        <w:t>12月已全部完成，通过本项目的实施，采购智能化视频办案指挥设备，做好检察公益诉讼技术支持保障工作；制作公益诉讼宣传片，提高宣传度，积极争取各方支持提升人民对国有林地和草场的保护意识；被破坏的草场和林地得以修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实施主体：昌吉回族自治州人民检察院。</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实施情况：本项目于2023年1月开始实施，</w:t>
      </w:r>
      <w:r>
        <w:rPr>
          <w:rStyle w:val="18"/>
          <w:rFonts w:hint="eastAsia" w:ascii="楷体" w:hAnsi="楷体" w:eastAsia="楷体"/>
          <w:b w:val="0"/>
          <w:bCs w:val="0"/>
          <w:spacing w:val="-4"/>
          <w:sz w:val="32"/>
          <w:szCs w:val="32"/>
          <w:lang w:eastAsia="zh-CN"/>
        </w:rPr>
        <w:t>截至2023年</w:t>
      </w:r>
      <w:r>
        <w:rPr>
          <w:rStyle w:val="18"/>
          <w:rFonts w:hint="eastAsia" w:ascii="楷体" w:hAnsi="楷体" w:eastAsia="楷体"/>
          <w:b w:val="0"/>
          <w:bCs w:val="0"/>
          <w:spacing w:val="-4"/>
          <w:sz w:val="32"/>
          <w:szCs w:val="32"/>
        </w:rPr>
        <w:t>12月已全部完成，通过本项目的实施，项目的实施指导和办理公益诉讼案件427件；对到期未整改案件的提起诉讼率100.00%；案件按时限办理达标率100.00%；挽回国有损失606.00万元。采购智能化视频办案指挥设备，做好检察公益诉讼技术支持保障工作；制作公益诉讼宣传片，提高宣传度，积极争取各方支持提升人民对国有林地和草场的保护意识；被破坏的草场和林地得以修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宪法》、《中华人民共和国人民检察院组织法》和中共中央《关于政法领域全面深化改革的实施意见》，按照自治区党委机构编制委员会《关于印发自治区分州市、县市区人民检察院内设机构改革方案的通知》的精神，昌吉州人民检察院主要职能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深入贯彻习近平新时代中国特色社会主义思想，深入贯彻党的路线方针政策和决策部署，聚焦社会稳定和长治久安总目标，统一本地区检察机关思想和行动，坚持党对检察工作的绝对领导，坚决维护习近平总书记的核心地位，坚决维护党中央权威和集中统一领导。</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（二）依法向昌吉州人民代表大会及其常务委员会提出议案。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（三）领导本地区各级人民检察院的工作，对基层人民检察院相关业务进行指导，贯彻落实检察工作方针、总体规划，部署检察工作任务。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（四）依照法律规定对由昌吉州人民检察院直接受理的刑事案件行使侦查权，领导本地区各级人民检察院开展对依照法律规定由人民检察院直接受理的刑事案件的侦查工作。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五）对本地区重大刑事案件依法审查批准速捕、决定速捕、审查起诉，对报请追诉的案件进行审查，报请自治区人民检察院审查、决定是否追诉，领导本地区各级人民检察院开展对刑事犯罪案件的审查批准逮捕、决定逮捕、审查起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六）负责应由昌吉州人民检察院承办的刑事、民事、行政诉讼活动及刑事、民事、行政判决和裁定等生效法律文书执行活动的法律监督工作，领导本地区各级人民检察院对刑事、民事、行政诉讼活动及判决和裁定等生效法律文书执行活动的法律监督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七）负责对本地区基层人民法院已发生法律效力、确有错误的判决和裁定，依法向昌吉州中级人民法院提出抗诉。负责对昌吉州中级人民法院已发生法律效力、确有错误的判决和裁定，依法提请自治区人民检察院向自治区高级人民法院提出抗诉。</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（八）负责应由昌吉州人民检察院承办的提起公益诉讼工作，领导本地区各级人民检察院开展提起公益诉讼工作。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九）负责应由昌吉州人民检察院承办的对监狱、安置教育机构、看守所和社区矫正机构等执法活动的法律监督工作，领导本地区各级人民检察院开展对监狱、安置教育机构、看守所和社区矫正机构等执法活动的法律监督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（十）受理向昌吉州人民检察院的控告申诉，领导本地区各级人民检察院的控告申诉检察工作。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（十一）对本地区各级人民检察院在行使检察权中作出的决定进行审查，纠正错误决定。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（十二）指导本地区检察机关的检察应用和理论研究工作。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（十三）负责本地区检察机关队伍建设和思想政治工作。领导本地区各级人民检察院依法管理检察官及其他检察人员的工作，组织指导本地区检察机关教育培训工作。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（十四）协同昌吉州党委主管部门管理和考核基层人民检察院领导班子成员。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（十五）领导本地区各级人民检察院的检务督察工作。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（十六）规划和指导本地区检察机关的财务装备工作，指导本地区检察机关的检察技术信息工作。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（十七）负责其他应当由昌吉州人民检察院承办的事项。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回族自治州人民检察院，该单位纳入2023年部门决算编制范围的有15个科室，分别是：办公室、第一检察部、第二检察部、第三检察部、第四检察部、第五检察部、第六检察部、第七检察部、第八检察部、综合检察业务部、检务督察部、行政装备处、检察技术处、司法警察支队、政治部等。</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编制人数为80人，其中：行政人员编制76人、工勤4人。离退休人员68人，其中：行政退休人员68人。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本项目预算安排总额为80.00万元，资金来源为本级部门预算，其中：财政资金80.00万元，其他资金0.00万元，2023年实际收到预算资金80.00万元，预算资金到位率为100.00%。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截至2023年12月31日，本项目实际支付资金79.28万元，预算执行率99.10%（结余资金额度0.72万元）。本项目资金主要用于支付公益诉讼指挥平台76.10万元、公益诉讼检察工作宣传费用3.18万元。</w:t>
      </w:r>
    </w:p>
    <w:p w14:paraId="490F4AE8">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6AB97D1F">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（二）项目绩效目标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共中央《中共中央关于加强新时代检察机关法律监督工作的意见》、最高人民检察院《“十四五”时期检务保障工作发展规划》和《关于做好检察公益诉讼技术支持保障工作的通知》等政策文件的要求，1、通过智能化视频办案指挥设备，做好检察公益诉讼技术支持保障工作；2、制作公益诉讼宣传片，提高宣传度，积极争取各方支持；3、完成指导和办理公益诉讼案件200件以上，对到期未整改案件的提起诉讼率超过90.00%。积极推动检察公益诉讼技术支持保障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“指导和办理公益诉讼案件”指标，预期指标值为“大于等于200件”；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“采购公益诉讼指挥系统设备”指标，预期指标值为“大于等于1批”；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“对到期未整改案件的提起诉讼率”指标，预期指标值为“大于等于90.00%”；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“设备验收合格率”指标，预期指标值为“大于等于95.00%”；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“案件按时限办理达标率”指标，预期指标值为“大于等于95.00%”；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“公益诉讼信息化设备支出成本”指标，预期指标值为“小于等于76.00万元”；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“公益诉讼业务支出成本”指标，预期指标值为“小于等于4.00万元”；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“挽回国有损失”指标，预期指标值为“大于等于1000.00万元”；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“人民监督员对公益诉讼工作的满意度”指标，预期指标值为“大于等于95.00%”。</w:t>
      </w:r>
    </w:p>
    <w:p w14:paraId="69020792">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0DE948CE">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499AB55E">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（一）绩效评价的目的、对象和范围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本次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此次我单位根据《财政支出绩效评价管理暂行办法》（财预〔2020〕10号）文件要求实施评价工作，本次评价对象为公益诉讼专项经费，评价核心为项目资金、项目产出、项目效益。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(5)公益诉讼检察工作重点。</w:t>
      </w:r>
    </w:p>
    <w:p w14:paraId="4F2CA945">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7F6698E6">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（二）绩效评价原则、评价指标体系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1E04B1C8">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352513CF">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（三）绩效评价工作过程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5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白强（评价小组组长）：主要负责项目策划和监督，全面负责项目绩效评价办稿的最终质量，对评估人员出具的最终报告质量进行复核，确保评估结果的客观性；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张雪梅（评价小组组员）：主要负责资料的收集，取证、数据统计分析；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毛玲玲（评价小组组员）：主要负责主要负责项目报告的制定，指标的研判，数据分析及报告撰写。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2024年3月6日-3月15日，评价工作进入实施阶段。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等相关资料，完成绩效评价内容所需的印证资料整理，所有数据经核查后统计汇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经调研了解，该项目主要受益群体包括资源管理机构。我们根据绩效评价目标和绩效指标体系，设计满意度调查问卷进行问卷调查，其中相关单位共选取样本50人，共发放问卷50份，最终收回50份。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2024年3月16日-3月20日，评价小组按照绩效评价的原则和规范，对取得的资料进行审查核实，对采集的数据进行分析，按照绩效评价指标评分表逐项进行打分、分析、汇总各方评价结果。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2024年3月21日-3月30日，评价小组撰写绩效评价报告，按照新疆维吾尔自治区财政绩效管理信息系统绩效评价模块中统一格式和文本框架撰写绩效评价报告并提交审核。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6A75B0FB">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401383A5">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完成了指导和办理公益诉讼案件427件；对到期未整改案件的提起诉讼率100.00%；案件按时限办理达标率100.00%；发挥了挽回国有损失606.00万元的经济效益。但在实施过程中也存在一些不足：预算不够精细，成本类指标部分完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20个，实现三级指标数量17个，总体完成率为85.00%。最终评分结果：总分为91.02分，绩效评级为“优”。综合评价结论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过程管理类指标共设置5个，满分指标4个，得分率99.79%；</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项目产出类指标共设置7个，满分指标6个，得分83.33%；</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项目效益类指标共设置2个，满分指标1个，得分率86.87%。</w:t>
      </w:r>
    </w:p>
    <w:p w14:paraId="47AE3173">
      <w:pPr>
        <w:spacing w:line="540" w:lineRule="exact"/>
        <w:ind w:firstLine="64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00ABE0D3">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5CDC9C2C">
      <w:pPr>
        <w:tabs>
          <w:tab w:val="center" w:pos="4295"/>
        </w:tabs>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（一）项目决策情况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最高人民检察院颁发的《关于做好检察公益诉讼技术支持保障工作的通知》中：“极做好检察公益诉讼技术支持保障工作是当前各级检察院技术部门用实际行动支持改革、切实履行以服务办案为中心职责的重要任务，也是检察技术适应改革需要、顺势而为、实现转型发展的重大契机”，符合行业发展规划和政策要求；本项目立项符合《昌吉回族自治州人民检察院单位配置内设机构和人员编制规定》中职责范围中的“公益诉讼检察”，属于我单位履职所需；根据《财政资金直接支付申请书》，本项目资金性质为“公共财政预算”功能分类为“2040499其他检察支出”经济分类为“302商品和服务支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本项目为非基础建设类项目，属于专项资金安排项目，不涉及事前绩效评估、可行性研究以及风险评估，由我单位严格按照《关于做好检察公益诉讼技术支持保障工作的通知》文件要求实施项目。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根据中共中央《中共中央关于加强新时代检察机关法律监督工作的意见》、最高人民检察院《“十四五”时期检务保障工作发展规划》和《关于做好检察公益诉讼技术支持保障工作的通知》等政策文件的要求，1、通过智能化视频办案指挥设备，做好检察公益诉讼技术支持保障工作；2、制作公益诉讼宣传片，提高宣传度，积极争取各方支持；3、完成指导和办理公益诉讼案件200件以上，起诉案件的胜诉率超过95.00%。积极推动检察公益诉讼技术支持保障工作”；本项目实际工作内容为：绩效目标与实际工作内容一致，两者具有相关性;本项目按照绩效目标完成了数量指标、质量指标、时效指标、成本指标，有效保障了做好检察公益诉讼技术支持保障工作；制作公益诉讼宣传片，提高宣传度，积极争取各方支持提升人民对国有林地和草场的保护意识；被破坏的草场和林地得以修复，年度绩效目标完成，预期产出效益和效果符合正常的业绩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9个，定量指标9个，定性指标0个，指标量化率为100.00%，量化率达70.00%以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本项目预算编制通过市场询价得出，即预算编制较科学且经过论证；</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预算申请内容为公益诉讼检察专项经费，项目实际内容为公益诉讼检察设备，公益诉讼检察宣传费用，预算申请与《公益诉讼检察专项经费实施方案》中涉及的项目内容匹配；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80.00万元，我单位在预算申请中严格按照单位标准和数量进行核算，其中：公益诉讼检察设备76.00万，公益诉讼检察宣传费用4.00万元。本项目预算额度测算依据充分，严格按照标准编制，预算确定资金量与实际工作任务相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公益诉讼检察专项经费资金的请示》和《公益诉讼检察专项经费实施方案》为依据进行资金分配，预算资金分配依据充分。根据昌州财行[2023]1号文件显示，本项目实际到位资金80.00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1660338E">
      <w:pPr>
        <w:spacing w:line="540" w:lineRule="exact"/>
        <w:ind w:firstLine="567" w:firstLineChars="181"/>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03A69F4A">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（二）项目过程情况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项目过程管理类指标由2个二级指标和5个三级指标构成，权重分19.00分，实际得分18.96分。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80.00万元，其中：本级财政安排资金80.00万元，其他资金0.00万元，实际到位资金80.00万元，资金到位率=100%（实际到位资金/预算资金）×100.00%=（80/80）*100.00%=100.00%。得分=资金到位率*分值=100%*4=4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本项目实际支出资金79.28万元，预算执行率=99.10%（实际支出资金/实际到位资金）×100.00%=（79.28/80）*100.00%=99.10%。得分=预算执行率*分值=99.1%*5=4.96分。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综上所述，本指标满分为5.00分，根据评分标准得4.96分，本项目资金分配合理。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人民检察院财务管理办法》《公益诉讼检察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人民检察院财务管理办法》《公益诉讼检察专项资金管理办法》，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公益诉讼检察专项工作领导小组，由党组书记祁文秀任组长，负责项目的组织工作；谭婷任副组长，负责项目的实施工作；组员为包学斌，主要负责项目监督管理、验收以及资金核拨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2A397F0D">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7ACBCCCB">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（三）项目产出情况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项目产出类指标由4个二级指标和7个三级指标构成，权重分30.00分，实际得分25.00分。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“指导和办理公益诉讼案件”指标，预期指标值为“大于等于200件”，实际完成指标值为427件，指标完成率为100.00%。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综上所述，本指标满分为6.00分，根据评分标准得6.00分。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“采购公益诉讼指挥系统设备”指标，预期指标值为“大于等于1批”，实际完成指标值为1批，指标完成率为100.00%。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“对到期未整改案件的提起诉讼率”指标，预期指标值为“大于等于90.00%”，实际完成指标值为100.00%，指标完成率为100.00%。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“设备验收合格率”指标，预期指标值为“大于等于95.00%”，实际完成指标值为100.00%，指标完成率为100.00%。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“案件按时限办理达标率”指标，预期指标值为“大于等于95.00%”实际完成指标值为100.00%，指标完成率为100.00%。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“公益诉讼信息化设备支出成本”指标，预期指标值为“小于等于76.00万元”，实际完成指标值为76.10万元，指标完成率为100.13%。偏差原因为，受技术标准要求影响，采购设备超出预算0.10万元。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“公益诉讼业务支出成本”指标，预期指标值为“小于等于4.00万元”，实际完成指标值为3.17万元，指标完成率为100.00%。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p>
    <w:p w14:paraId="777C74FD">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7CA107D1">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（四）项目效益情况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项目效益类指标由2个二级指标和2个三级指标构成，权重分30.00分，实际得分26.06分。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挽回国有损失”指标，预期指标值为“大于等于1000.00万元”，实际完成指标值为“606.00万元”指标完成率为60.60%。偏差原因为本年工作已完成，为保障案件质量，实现提质增效，缩减案件质量，该指标比预期计划降低。</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综上所述，本指标满分为10.00分，根据评分标准得6.06分。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“人民监督员对公益诉讼工作的满意度”指标，预期指标值为“大于等于95.00%”，实际完成指标值为100.00%，指标完成率为100.00%。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综上所述，本指标满分为20.00分，根据评分标准得20.00分。</w:t>
      </w:r>
    </w:p>
    <w:p w14:paraId="48B5CB25">
      <w:pPr>
        <w:spacing w:line="540" w:lineRule="exact"/>
        <w:ind w:firstLine="567"/>
        <w:rPr>
          <w:rStyle w:val="18"/>
          <w:rFonts w:hint="eastAsia" w:ascii="楷体" w:hAnsi="楷体" w:eastAsia="楷体"/>
          <w:spacing w:val="-4"/>
          <w:sz w:val="32"/>
          <w:szCs w:val="32"/>
        </w:rPr>
      </w:pPr>
    </w:p>
    <w:p w14:paraId="013F2BC7">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预算执行进度与绩效指标偏差</w:t>
      </w:r>
    </w:p>
    <w:p w14:paraId="6F7F22E5">
      <w:pPr>
        <w:spacing w:line="540" w:lineRule="exact"/>
        <w:ind w:firstLine="567"/>
        <w:rPr>
          <w:rStyle w:val="18"/>
          <w:rFonts w:hint="eastAsia" w:ascii="黑体" w:hAnsi="黑体" w:eastAsia="黑体"/>
          <w:b w:val="0"/>
          <w:spacing w:val="-4"/>
          <w:sz w:val="32"/>
          <w:szCs w:val="32"/>
        </w:rPr>
      </w:pPr>
      <w:r>
        <w:rPr>
          <w:rStyle w:val="18"/>
          <w:rFonts w:hint="eastAsia" w:ascii="楷体" w:hAnsi="楷体" w:eastAsia="楷体"/>
          <w:b w:val="0"/>
          <w:bCs w:val="0"/>
          <w:spacing w:val="-4"/>
          <w:sz w:val="32"/>
          <w:szCs w:val="32"/>
        </w:rPr>
        <w:t>本项目年初预算资金总额为80.00万元，全年预算数为80.00万元，全年执行数为79.28万元，预算执行率为99.10%。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本项目共设置三级指标数量20个，满分指标数量17个，扣分指标数量3个，经分析计算所有三级指标完成率得出，本项目总体完成率为93.00%。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综上所述本项目预算执行进度与总体完成进度之间的偏差为6.10%。主要偏差原因是：一是预算不够精细，导致预算执行率和经济成本类指标出现偏差；二是公益诉讼检察提升案件质量，提质增量。</w:t>
      </w:r>
    </w:p>
    <w:p w14:paraId="7B6A8E78">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41E890E6">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一是领导重视到位：高度重视，主要领导亲自抓，并予以充分的人力、财力保障。责任落实到位：将各项目工作列入年度干部绩效考核实施方案，将各项目工作落实到具体科室、具体岗位、具体个人。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1.公益诉讼工作保质增效的方面仍有不足。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要加强优化案件结构，强化对下指导，确保公益诉讼工作保质增效。引导和要求基层院正确处理好办案数量与质量效果的关系，保证诉讼案件的稳妥性和准确性，确保年底公益诉讼的完美收官。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2.业务学习存在局限，有待加强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积极探索研究与行政机关相互交流学习的机制，更加熟悉行政机关相关业务知识，持续打造一支“想办案、会办案、能办案”的高素质公益诉讼队伍。</w:t>
      </w:r>
    </w:p>
    <w:p w14:paraId="120B9269">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七、有关建议</w:t>
      </w:r>
    </w:p>
    <w:p w14:paraId="60FC8B3A">
      <w:pPr>
        <w:spacing w:line="540" w:lineRule="exact"/>
        <w:ind w:firstLine="567"/>
        <w:rPr>
          <w:rStyle w:val="18"/>
          <w:rFonts w:hint="eastAsia" w:ascii="楷体" w:hAnsi="楷体" w:eastAsia="楷体"/>
          <w:spacing w:val="-4"/>
          <w:sz w:val="32"/>
          <w:szCs w:val="32"/>
        </w:rPr>
      </w:pPr>
      <w:r>
        <w:rPr>
          <w:rStyle w:val="18"/>
          <w:rFonts w:hint="eastAsia" w:ascii="楷体" w:hAnsi="楷体" w:eastAsia="楷体"/>
          <w:b w:val="0"/>
          <w:bCs w:val="0"/>
          <w:spacing w:val="-4"/>
          <w:sz w:val="32"/>
          <w:szCs w:val="32"/>
        </w:rPr>
        <w:t>七、有关建议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1.加强培训，提高相关人员工作水平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采取多种培训形式对单位财务人员、业务科室人员进行集中培训，进一步</w:t>
      </w:r>
      <w:r>
        <w:rPr>
          <w:rStyle w:val="18"/>
          <w:rFonts w:hint="eastAsia" w:ascii="楷体" w:hAnsi="楷体" w:eastAsia="楷体"/>
          <w:b w:val="0"/>
          <w:bCs w:val="0"/>
          <w:spacing w:val="-4"/>
          <w:sz w:val="32"/>
          <w:szCs w:val="32"/>
          <w:lang w:eastAsia="zh-CN"/>
        </w:rPr>
        <w:t>提质增效</w:t>
      </w:r>
      <w:r>
        <w:rPr>
          <w:rStyle w:val="18"/>
          <w:rFonts w:hint="eastAsia" w:ascii="楷体" w:hAnsi="楷体" w:eastAsia="楷体"/>
          <w:b w:val="0"/>
          <w:bCs w:val="0"/>
          <w:spacing w:val="-4"/>
          <w:sz w:val="32"/>
          <w:szCs w:val="32"/>
        </w:rPr>
        <w:t>观念，提高本单位工作人员的工作水平，为检察工作的顺利开展提供保障。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 注重沟通协调，增强保护公益合力，优化公益诉讼的外部环境。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持续加强与行政机关的联系，对公益诉讼还存在模糊认识的行政机关，要长期通过走访、座谈等形式宣传公益诉讼职责，讲清检察机关与行政机关在保护公共利益上目标和方向是一致的，消除行政机关认为检察院进行监督就是找茬的错误认识。</w:t>
      </w:r>
    </w:p>
    <w:p w14:paraId="53761C0B">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八、其他需要说明的问题</w:t>
      </w:r>
    </w:p>
    <w:p w14:paraId="751EA204">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八、其他需要说明的问题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333A735B">
      <w:pPr>
        <w:spacing w:line="540" w:lineRule="exact"/>
        <w:ind w:firstLine="567"/>
        <w:rPr>
          <w:rStyle w:val="18"/>
          <w:rFonts w:hint="eastAsia" w:ascii="仿宋" w:hAnsi="仿宋" w:eastAsia="仿宋"/>
          <w:b w:val="0"/>
          <w:spacing w:val="-4"/>
          <w:sz w:val="32"/>
          <w:szCs w:val="32"/>
        </w:rPr>
      </w:pPr>
    </w:p>
    <w:p w14:paraId="6468464B">
      <w:pPr>
        <w:spacing w:line="540" w:lineRule="exact"/>
        <w:ind w:firstLine="567"/>
        <w:rPr>
          <w:rStyle w:val="18"/>
          <w:rFonts w:hint="eastAsia" w:ascii="仿宋" w:hAnsi="仿宋" w:eastAsia="仿宋"/>
          <w:b w:val="0"/>
          <w:spacing w:val="-4"/>
          <w:sz w:val="32"/>
          <w:szCs w:val="32"/>
        </w:rPr>
      </w:pPr>
    </w:p>
    <w:p w14:paraId="0F5D9C17">
      <w:pPr>
        <w:spacing w:line="540" w:lineRule="exact"/>
        <w:ind w:firstLine="567"/>
        <w:rPr>
          <w:rStyle w:val="18"/>
          <w:rFonts w:hint="eastAsia" w:ascii="仿宋" w:hAnsi="仿宋" w:eastAsia="仿宋"/>
          <w:b w:val="0"/>
          <w:spacing w:val="-4"/>
          <w:sz w:val="32"/>
          <w:szCs w:val="32"/>
        </w:rPr>
      </w:pPr>
    </w:p>
    <w:p w14:paraId="1539E6F7">
      <w:pPr>
        <w:spacing w:line="540" w:lineRule="exact"/>
        <w:ind w:firstLine="567"/>
        <w:rPr>
          <w:rStyle w:val="18"/>
          <w:rFonts w:hint="eastAsia" w:ascii="仿宋" w:hAnsi="仿宋" w:eastAsia="仿宋"/>
          <w:b w:val="0"/>
          <w:spacing w:val="-4"/>
          <w:sz w:val="32"/>
          <w:szCs w:val="32"/>
        </w:rPr>
      </w:pPr>
    </w:p>
    <w:p w14:paraId="695E4594">
      <w:pPr>
        <w:spacing w:line="540" w:lineRule="exact"/>
        <w:ind w:firstLine="567"/>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3E5F7F-5E43-4B72-9918-474317DA8A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97A70A5-84E4-4390-B5EF-152A9BFF58F1}"/>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00864E3B-62CB-4F0D-8D04-EC7C99ACEC1E}"/>
  </w:font>
  <w:font w:name="华文中宋">
    <w:panose1 w:val="02010600040101010101"/>
    <w:charset w:val="86"/>
    <w:family w:val="auto"/>
    <w:pitch w:val="default"/>
    <w:sig w:usb0="00000287" w:usb1="080F0000" w:usb2="00000000" w:usb3="00000000" w:csb0="0004009F" w:csb1="DFD70000"/>
    <w:embedRegular r:id="rId4" w:fontKey="{683E540C-C47B-4604-90C6-59A4E84F2163}"/>
  </w:font>
  <w:font w:name="方正小标宋_GBK">
    <w:panose1 w:val="02000000000000000000"/>
    <w:charset w:val="86"/>
    <w:family w:val="script"/>
    <w:pitch w:val="default"/>
    <w:sig w:usb0="A00002BF" w:usb1="38CF7CFA" w:usb2="00082016" w:usb3="00000000" w:csb0="00040001" w:csb1="00000000"/>
    <w:embedRegular r:id="rId5" w:fontKey="{7E0731AC-893C-4F2E-BDD8-04A184EA5B26}"/>
  </w:font>
  <w:font w:name="仿宋_GB2312">
    <w:panose1 w:val="02010609030101010101"/>
    <w:charset w:val="86"/>
    <w:family w:val="modern"/>
    <w:pitch w:val="default"/>
    <w:sig w:usb0="00000001" w:usb1="080E0000" w:usb2="00000000" w:usb3="00000000" w:csb0="00040000" w:csb1="00000000"/>
    <w:embedRegular r:id="rId6" w:fontKey="{3878CC55-1E51-43AC-9189-C02B2681A605}"/>
  </w:font>
  <w:font w:name="楷体">
    <w:panose1 w:val="02010609060101010101"/>
    <w:charset w:val="86"/>
    <w:family w:val="modern"/>
    <w:pitch w:val="default"/>
    <w:sig w:usb0="800002BF" w:usb1="38CF7CFA" w:usb2="00000016" w:usb3="00000000" w:csb0="00040001" w:csb1="00000000"/>
    <w:embedRegular r:id="rId7" w:fontKey="{68239918-0876-49F2-8323-26E5F89AF1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498C79C2">
        <w:pPr>
          <w:pStyle w:val="12"/>
          <w:jc w:val="center"/>
        </w:pPr>
        <w:r>
          <w:fldChar w:fldCharType="begin"/>
        </w:r>
        <w:r>
          <w:instrText xml:space="preserve">PAGE   \* MERGEFORMAT</w:instrText>
        </w:r>
        <w:r>
          <w:fldChar w:fldCharType="separate"/>
        </w:r>
        <w:r>
          <w:rPr>
            <w:lang w:val="zh-CN"/>
          </w:rPr>
          <w:t>2</w:t>
        </w:r>
        <w:r>
          <w:fldChar w:fldCharType="end"/>
        </w:r>
      </w:p>
    </w:sdtContent>
  </w:sdt>
  <w:p w14:paraId="2D27F686">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4A43BD"/>
    <w:rsid w:val="00502BA7"/>
    <w:rsid w:val="005162F1"/>
    <w:rsid w:val="00535153"/>
    <w:rsid w:val="00554F82"/>
    <w:rsid w:val="0056390D"/>
    <w:rsid w:val="005719B0"/>
    <w:rsid w:val="005D10D6"/>
    <w:rsid w:val="00675F9A"/>
    <w:rsid w:val="007363B6"/>
    <w:rsid w:val="00752133"/>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3029612C"/>
    <w:rsid w:val="32A221C5"/>
    <w:rsid w:val="33F20F2A"/>
    <w:rsid w:val="34C44675"/>
    <w:rsid w:val="3B5B5607"/>
    <w:rsid w:val="3CE21B3C"/>
    <w:rsid w:val="4D2606A1"/>
    <w:rsid w:val="50D72076"/>
    <w:rsid w:val="51830480"/>
    <w:rsid w:val="53A616BE"/>
    <w:rsid w:val="54662BFB"/>
    <w:rsid w:val="62051CA5"/>
    <w:rsid w:val="6C3A69EF"/>
    <w:rsid w:val="77C51C80"/>
    <w:rsid w:val="7AAC04F4"/>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uiPriority w:val="10"/>
    <w:rPr>
      <w:rFonts w:asciiTheme="majorHAnsi" w:hAnsiTheme="majorHAnsi" w:eastAsiaTheme="majorEastAsia"/>
      <w:b/>
      <w:bCs/>
      <w:kern w:val="28"/>
      <w:sz w:val="32"/>
      <w:szCs w:val="32"/>
    </w:rPr>
  </w:style>
  <w:style w:type="character" w:customStyle="1" w:styleId="30">
    <w:name w:val="副标题 字符"/>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103</Words>
  <Characters>111</Characters>
  <Lines>85</Lines>
  <Paragraphs>24</Paragraphs>
  <TotalTime>3</TotalTime>
  <ScaleCrop>false</ScaleCrop>
  <LinksUpToDate>false</LinksUpToDate>
  <CharactersWithSpaces>123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2026-09-22T03:23:58Z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