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66EF3">
      <w:pPr>
        <w:spacing w:line="540" w:lineRule="exact"/>
        <w:jc w:val="left"/>
        <w:rPr>
          <w:rFonts w:ascii="仿宋" w:hAnsi="仿宋" w:eastAsia="仿宋" w:cs="宋体"/>
          <w:color w:val="auto"/>
          <w:kern w:val="0"/>
          <w:sz w:val="32"/>
          <w:szCs w:val="32"/>
        </w:rPr>
      </w:pPr>
      <w:bookmarkStart w:id="0" w:name="_GoBack"/>
      <w:bookmarkEnd w:id="0"/>
      <w:r>
        <w:rPr>
          <w:rFonts w:hint="eastAsia" w:ascii="仿宋" w:hAnsi="仿宋" w:eastAsia="仿宋" w:cs="宋体"/>
          <w:color w:val="auto"/>
          <w:kern w:val="0"/>
          <w:sz w:val="32"/>
          <w:szCs w:val="32"/>
        </w:rPr>
        <w:t>附件2：</w:t>
      </w:r>
    </w:p>
    <w:p w14:paraId="3E6C1981">
      <w:pPr>
        <w:spacing w:line="540" w:lineRule="exact"/>
        <w:jc w:val="center"/>
        <w:rPr>
          <w:rFonts w:ascii="华文中宋" w:hAnsi="华文中宋" w:eastAsia="华文中宋" w:cs="宋体"/>
          <w:b/>
          <w:color w:val="auto"/>
          <w:kern w:val="0"/>
          <w:sz w:val="52"/>
          <w:szCs w:val="52"/>
        </w:rPr>
      </w:pPr>
    </w:p>
    <w:p w14:paraId="66583F6E">
      <w:pPr>
        <w:spacing w:line="540" w:lineRule="exact"/>
        <w:jc w:val="center"/>
        <w:rPr>
          <w:rFonts w:ascii="华文中宋" w:hAnsi="华文中宋" w:eastAsia="华文中宋" w:cs="宋体"/>
          <w:b/>
          <w:color w:val="auto"/>
          <w:kern w:val="0"/>
          <w:sz w:val="52"/>
          <w:szCs w:val="52"/>
        </w:rPr>
      </w:pPr>
    </w:p>
    <w:p w14:paraId="31190DAE">
      <w:pPr>
        <w:spacing w:line="540" w:lineRule="exact"/>
        <w:jc w:val="center"/>
        <w:rPr>
          <w:rFonts w:ascii="华文中宋" w:hAnsi="华文中宋" w:eastAsia="华文中宋" w:cs="宋体"/>
          <w:b/>
          <w:color w:val="auto"/>
          <w:kern w:val="0"/>
          <w:sz w:val="52"/>
          <w:szCs w:val="52"/>
        </w:rPr>
      </w:pPr>
    </w:p>
    <w:p w14:paraId="26078432">
      <w:pPr>
        <w:spacing w:line="540" w:lineRule="exact"/>
        <w:jc w:val="center"/>
        <w:rPr>
          <w:rFonts w:ascii="华文中宋" w:hAnsi="华文中宋" w:eastAsia="华文中宋" w:cs="宋体"/>
          <w:b/>
          <w:color w:val="auto"/>
          <w:kern w:val="0"/>
          <w:sz w:val="52"/>
          <w:szCs w:val="52"/>
        </w:rPr>
      </w:pPr>
    </w:p>
    <w:p w14:paraId="4AC0A696">
      <w:pPr>
        <w:spacing w:line="540" w:lineRule="exact"/>
        <w:jc w:val="center"/>
        <w:rPr>
          <w:rFonts w:ascii="华文中宋" w:hAnsi="华文中宋" w:eastAsia="华文中宋" w:cs="宋体"/>
          <w:b/>
          <w:color w:val="auto"/>
          <w:kern w:val="0"/>
          <w:sz w:val="52"/>
          <w:szCs w:val="52"/>
        </w:rPr>
      </w:pPr>
    </w:p>
    <w:p w14:paraId="409A841A">
      <w:pPr>
        <w:spacing w:line="540" w:lineRule="exact"/>
        <w:jc w:val="center"/>
        <w:rPr>
          <w:rFonts w:ascii="华文中宋" w:hAnsi="华文中宋" w:eastAsia="华文中宋" w:cs="宋体"/>
          <w:b/>
          <w:color w:val="auto"/>
          <w:kern w:val="0"/>
          <w:sz w:val="52"/>
          <w:szCs w:val="52"/>
        </w:rPr>
      </w:pPr>
    </w:p>
    <w:p w14:paraId="7EFFC4DB">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27787880">
      <w:pPr>
        <w:spacing w:line="540" w:lineRule="exact"/>
        <w:jc w:val="center"/>
        <w:rPr>
          <w:rFonts w:ascii="华文中宋" w:hAnsi="华文中宋" w:eastAsia="华文中宋" w:cs="宋体"/>
          <w:b/>
          <w:color w:val="auto"/>
          <w:kern w:val="0"/>
          <w:sz w:val="52"/>
          <w:szCs w:val="52"/>
        </w:rPr>
      </w:pPr>
    </w:p>
    <w:p w14:paraId="17249912">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703FCEB3">
      <w:pPr>
        <w:spacing w:line="540" w:lineRule="exact"/>
        <w:jc w:val="center"/>
        <w:rPr>
          <w:rFonts w:hAnsi="宋体" w:eastAsia="仿宋_GB2312" w:cs="宋体"/>
          <w:color w:val="auto"/>
          <w:kern w:val="0"/>
          <w:sz w:val="30"/>
          <w:szCs w:val="30"/>
        </w:rPr>
      </w:pPr>
    </w:p>
    <w:p w14:paraId="3BAE0820">
      <w:pPr>
        <w:spacing w:line="540" w:lineRule="exact"/>
        <w:jc w:val="center"/>
        <w:rPr>
          <w:rFonts w:hAnsi="宋体" w:eastAsia="仿宋_GB2312" w:cs="宋体"/>
          <w:color w:val="auto"/>
          <w:kern w:val="0"/>
          <w:sz w:val="30"/>
          <w:szCs w:val="30"/>
        </w:rPr>
      </w:pPr>
    </w:p>
    <w:p w14:paraId="291D527C">
      <w:pPr>
        <w:spacing w:line="540" w:lineRule="exact"/>
        <w:jc w:val="center"/>
        <w:rPr>
          <w:rFonts w:hAnsi="宋体" w:eastAsia="仿宋_GB2312" w:cs="宋体"/>
          <w:color w:val="auto"/>
          <w:kern w:val="0"/>
          <w:sz w:val="30"/>
          <w:szCs w:val="30"/>
        </w:rPr>
      </w:pPr>
    </w:p>
    <w:p w14:paraId="2A1A8D95">
      <w:pPr>
        <w:spacing w:line="540" w:lineRule="exact"/>
        <w:jc w:val="center"/>
        <w:rPr>
          <w:rFonts w:hAnsi="宋体" w:eastAsia="仿宋_GB2312" w:cs="宋体"/>
          <w:color w:val="auto"/>
          <w:kern w:val="0"/>
          <w:sz w:val="30"/>
          <w:szCs w:val="30"/>
        </w:rPr>
      </w:pPr>
    </w:p>
    <w:p w14:paraId="0AAE452E">
      <w:pPr>
        <w:spacing w:line="540" w:lineRule="exact"/>
        <w:jc w:val="center"/>
        <w:rPr>
          <w:rFonts w:hAnsi="宋体" w:eastAsia="仿宋_GB2312" w:cs="宋体"/>
          <w:color w:val="auto"/>
          <w:kern w:val="0"/>
          <w:sz w:val="30"/>
          <w:szCs w:val="30"/>
        </w:rPr>
      </w:pPr>
    </w:p>
    <w:p w14:paraId="450D7FD8">
      <w:pPr>
        <w:spacing w:line="540" w:lineRule="exact"/>
        <w:jc w:val="center"/>
        <w:rPr>
          <w:rFonts w:hAnsi="宋体" w:eastAsia="仿宋_GB2312" w:cs="宋体"/>
          <w:color w:val="auto"/>
          <w:kern w:val="0"/>
          <w:sz w:val="30"/>
          <w:szCs w:val="30"/>
        </w:rPr>
      </w:pPr>
    </w:p>
    <w:p w14:paraId="72E14A6C">
      <w:pPr>
        <w:spacing w:line="540" w:lineRule="exact"/>
        <w:rPr>
          <w:rFonts w:hAnsi="宋体" w:eastAsia="仿宋_GB2312" w:cs="宋体"/>
          <w:color w:val="auto"/>
          <w:kern w:val="0"/>
          <w:sz w:val="30"/>
          <w:szCs w:val="30"/>
        </w:rPr>
      </w:pPr>
    </w:p>
    <w:p w14:paraId="6875FE26">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118F23AF">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业务费补助</w:t>
      </w:r>
    </w:p>
    <w:p w14:paraId="109435C6">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玛纳斯县人民法院</w:t>
      </w:r>
    </w:p>
    <w:p w14:paraId="07EF8D07">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玛纳斯县人民法院</w:t>
      </w:r>
    </w:p>
    <w:p w14:paraId="00D42DFF">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张传永</w:t>
      </w:r>
    </w:p>
    <w:p w14:paraId="1D549053">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2024年04月01日</w:t>
      </w:r>
    </w:p>
    <w:p w14:paraId="44ABF885">
      <w:pPr>
        <w:spacing w:line="700" w:lineRule="exact"/>
        <w:ind w:firstLine="708" w:firstLineChars="236"/>
        <w:jc w:val="left"/>
        <w:rPr>
          <w:rFonts w:hAnsi="宋体" w:eastAsia="仿宋_GB2312" w:cs="宋体"/>
          <w:color w:val="auto"/>
          <w:kern w:val="0"/>
          <w:sz w:val="30"/>
          <w:szCs w:val="30"/>
        </w:rPr>
      </w:pPr>
    </w:p>
    <w:p w14:paraId="2FA51C38">
      <w:pPr>
        <w:spacing w:line="540" w:lineRule="exact"/>
        <w:rPr>
          <w:rStyle w:val="18"/>
          <w:rFonts w:ascii="黑体" w:hAnsi="黑体" w:eastAsia="黑体"/>
          <w:b w:val="0"/>
          <w:color w:val="auto"/>
          <w:spacing w:val="-4"/>
          <w:sz w:val="32"/>
          <w:szCs w:val="32"/>
        </w:rPr>
      </w:pPr>
    </w:p>
    <w:p w14:paraId="5A6ABE6D">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0B1E478A">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51EF16C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关于印发&lt;玛纳斯县人民法院职能配置、内设机构和人员编制规定&gt;的通知》（昌吉州党机编办）〔2021〕49号），我单位主要职能包括：认真贯彻审判服务工作方针，部署审判工作任务等，根据《关于下达昌吉州本级预算单位2023年部门预算的通知》（昌州财行〔2023〕1号）文件要求，我单位实施了业务费补助，对本单位公用经费等进行资金补充，有效提升干警的业务能力，提升我院的服务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（1）项目名称：业务费补助项目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本项目主要内容为后勤保障和图文设计印刷服务、维修维护费的补充；是为了一保运转、二保审判、三保维护、四保安全、五保积极性。项目的实施提高了审判机关的办案和装备经费保障水平，提升审判机关装备配备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实施主体：玛纳斯县人民法院。</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实施时间：本项目实施周期为2023年1月-2023年12月。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1.前期准备阶段。项目实施前我单位编制年初预算，经财政局批复，获得《关于下达昌吉州本级预算单位2023年部门预算的通知》（昌州财行〔2023〕1号）。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2.项目实施阶段：招投标情况。我单位严格按照政采云相关手续，图文广告和、和印刷服务在政采云进行招投标采购。</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同时，根据各庭室上报的需要印刷服务需求，制作普法宣传等海报、横幅的印刷、保障了单位食堂大师傅和大楼的保安的工资共6人。按月发放6人工资。</w:t>
      </w:r>
      <w:r>
        <w:rPr>
          <w:rStyle w:val="18"/>
          <w:rFonts w:hint="eastAsia" w:ascii="楷体" w:hAnsi="楷体" w:eastAsia="楷体"/>
          <w:b w:val="0"/>
          <w:bCs w:val="0"/>
          <w:color w:val="auto"/>
          <w:spacing w:val="-4"/>
          <w:sz w:val="32"/>
          <w:szCs w:val="32"/>
          <w:lang w:eastAsia="zh-CN"/>
        </w:rPr>
        <w:t>截至2023年</w:t>
      </w:r>
      <w:r>
        <w:rPr>
          <w:rStyle w:val="18"/>
          <w:rFonts w:hint="eastAsia" w:ascii="楷体" w:hAnsi="楷体" w:eastAsia="楷体"/>
          <w:b w:val="0"/>
          <w:bCs w:val="0"/>
          <w:color w:val="auto"/>
          <w:spacing w:val="-4"/>
          <w:sz w:val="32"/>
          <w:szCs w:val="32"/>
        </w:rPr>
        <w:t>12月31日，图文设计印刷服务验收合格；大师傅保质保量完成工作。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玛纳斯县人民法院是国家的审判机关，在县委和中级人民法院的指导下，依法独立行使审判权，对县人民代表大会及其常委会负责并报告工作。其主要职责是：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审理法律规定由本院管辖、上级人民法院指定管辖的刑事、民商事和行政等第一审案件。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依照法律监督程序，对符合法律规定需要再审的案件，裁定再审；审理上级人民法院指令再审的案件；审理发回重审的案件。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依法决定国家赔偿。</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依法行使司法执行权和司法决定权，执行本院已经发生法律效力的判决、裁定、调解书及法律规定由人民法院执行的其他法律文书；执行其他法院委托执行的案件以及法律规定的基层法院执行的案件。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依法对应受理的民事、商事案件，组织当事人进行诉前调解，化解矛盾纠纷。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指导本辖区人民调解委员会的工作。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调查研究审判执行工作中的法律政策问题，参与有关法律、法规、规章、条例等草案的讨论并提出意见；针对案件受理中发现的问题提出司法建议。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负责本院的思想政治、机关党建、组织人事、党风廉政、教育培训等工作，按照管理权限管理本院工作人员。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负责本院的司法行政、办公现代化、司法技术等工作，管理本院的有关经费和物资装备。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负责本院的司法警察工作。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负责本院的审务督察、纪检监察业务等内部监督工作。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全面领导人民法庭工作。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做好人大代表、政协委员联络工作，对当地人民代表大会及其常务委员会负责并报告工作。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完成上级法院和当地党委、人大交办的其他工作。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承办其他应有本院负责的工作。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玛纳斯县人民法院为一级预算单位，无下属预算单位，内设8个内设机构：立案庭(诉讼服务中心)、刑事审判庭、民事审判庭、行政审判庭(综合审判庭)、执行局、政治部(机关党委)、综合办公室(司法警察大队)、审判管理办公室(研究室)；1个派出法庭：北五岔法庭。</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人员情况，玛纳斯县人民法院编制85人，其中行政编制82人，工勤编3人。2023年末实有在职人员76人，其中行政人员73人，工勤人员3人。2023年末行政人员与上年末总人数增加0人，其中，新招录6人,退休6人。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本项目预算安排总额为86.00万元，资金来源为地方政府专项资金，其中：财政资金86.00万元，其他资金0.00万元，2023年实际收到预算资金86.00万元，预算资金到位率为100.00%。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截至2023年12月31日，本项目实际支付资金61.62万元，预算执行率71.65%，结余24.38万元。本项目资金主要用于支付大师傅劳务费和保洁委托业务费费用50.17万元、维修维护费用10.82万元、印刷费0.63万元。</w:t>
      </w:r>
    </w:p>
    <w:p w14:paraId="4A0B962E">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2D5E26F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保证基层人民法院履行职能的经费需要，该项目预算数86万，主要用于购买物业服务及图文印刷设计服务等日常办公经费的补充，提高后勤保障能力，保障法院审判执行工作顺利开展，保障业务办案及正常办公顺利进行。</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“图文设计印刷服务次数”指标，预期指标值为“大于等于8次”；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“保障后勤服务人数”指标，预期指标值为“大于等于2人”；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“政府采购率”指标，预期指标值为“大于等于90.00%”；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“办公环境整洁率”指标，预期指标值为“大于等于85.00%”；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“后勤服务人员到位及时率”指标，预期指标值为“大于等于95.00%”；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“图文设计印刷服务成本”指标，预期指标值为“小于等于43.00万元”；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“后勤服务保障成本”指标，预期指标值为“小于等于43.00万元”；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“有效保障审判服务”指标，预期指标值为“有效保障”；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“干警对后勤保障的满意度”指标，预期指标值为“大于等于95.00%”。</w:t>
      </w:r>
    </w:p>
    <w:p w14:paraId="243B111C">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7D661CFF">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4BFA2AEA">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此次我单位根据《财政支出绩效评价管理暂行办法》（财预〔2020〕10号）文件要求实施评价工作，本次评价对象为业务费补助项目，评价核心为项目资金、项目产出、项目效益。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（5）《玛纳斯县人民法院财务管理办法》。</w:t>
      </w:r>
    </w:p>
    <w:p w14:paraId="7764989B">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7857F7D7">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因素分析法、公众评判法对项目进行评价，旨在通过综合分析影响绩效目标实现、实施效果的内外部因素，从而评价本项目绩效。三级指标分析环节：总体采用比较法，同时辅以因素分析法</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公众评判法。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D41E29B">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5262975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3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张新建（评价小组组长）：主要负责项目策划和监督，全面负责项目绩效评价办稿的最终质量，对评估人员出具的最终报告质量进行复核，确保评估结果的客观性；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谢娜梅（评价小组组员）：主要负责资料的收集，取证、数据统计分析；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吾娜孜古丽（评价小组组员）：主要负责主要负责项目报告的制定，指标的研判，数据分析及报告撰写。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2023年3月4日-3月13日，评价工作进入实施阶段。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经调研了解，该项目主要受益群体包括单位全体法院干警。我们根据绩效评价目标和绩效指标体系，设计满意度调查问卷进行问卷调查，其中法院干警受益对象共选取样本76人，共发放问卷76份，最终收回72份。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2024年3月14日-3月20日，评价小组按照绩效评价的原则和规范，对取得的资料进行审查核实，对采集的数据进行分析，按照绩效评价指标评分表逐项进行打分、分析、汇总各方评价结果。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2024年3月21-4月20日，评价小组撰写绩效评价报告，按照新疆维吾尔自治区财政绩效管理信息系统绩效评价模块中统一格式和文本框架撰写绩效评价报告并提交审核。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6D36D6E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0850E61C">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达成较大程度达成年初设立的绩效目标，在实施过程中取得了良好的成效，具体表现在：通过项目的实施，完成了6人劳务费的支付，对单位后勤提供了足够的保障，给本院干警提供了舒适的办公环境；完成了图文印刷和广告服务，进行了多次普法宣传等。但在实施过程中也存在一些不足：广告服务和印刷等服务付款不及时等。</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20个，实现三级指标数量18个，总体完成率为90.00%。最终评分结果：总分为94.58分，绩效评级为“优”。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过程管理类指标共设置5个，满分指标4个，得分率92.53%；</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项目产出类指标共设置7个，满分指标6个，得分率86.67%；</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项目效益类指标共设置2个，满分指标2个，得分率100.00%。</w:t>
      </w:r>
    </w:p>
    <w:p w14:paraId="1CBEC164">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56F698B1">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06316E95">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行业发展规划和政策要求；本项目立项符合《玛纳斯县人民法院配置内设机构和人员编制规定》中“依法行使审判权，包括民事案件、刑事案件和行政案件的审判。法院保障在职人员、退休人员的正常办公、生活秩序。确保各项业务工作有序推进，促进审判、执行工作发展”的职责范围，属于我单位履职所需；根据《财政资金直接支付申请书》，本项目资金性质为“公共财政预算”；功能分类为“2040502一般行政管理事务”；经济分类为“50201办公经费、50306设备购置”；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属于专项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为保证基层人民法院履行职能的经费需要，该项目预算数86万，主要用于购买物业服务及图文印刷设计服务等日常办公经费的补充，提高后勤保障能力，保障法院审判执行工作顺利开展，保障业务办案及正常办公顺利进行”；本项目实际工作内容为：购买物业服务及图文印刷设计服务等日常办公经费的补充，提高后勤保障能力，保障法院审判执行工作顺利开展，保障业务办案及正常办公顺利进行；绩效目标与实际工作内容一致，两者具有相关性;本项目按照绩效目标完成了数量指标、质量指标、时效指标、成本指标，有效保障了法院审判执行工作顺利开展，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4个，二级指标6个，三级指标9个，定量指标8个，定性指标1个，指标量化率为88.89%，量化率达70.00%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本项目预算编制通过往年支出情况得出，即预算编制较科学且经过论证；</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预算申请内容为保障后勤服务人员、维修维护、图文设计和印刷服务，项目实际内容为保障后勤服务人员、维修维护费、图文设计和印刷服务，预算申请与《业务费补助项目实施方案》中涉及的项目内容匹配；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86.00万元，我单位在预算申请中严格按照单位标准和数量进行核算，其中：委托业务费59.12万，维修维护费18.88万,印刷费8.00万。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申请业务费补助项目资金的请示》和《业务费补助项目实施方案》为依据进行资金分配，预算资金分配依据充分。《关于下达昌吉州本级预算单位2023年部门预算的通知》（昌州财行〔2023〕1号）文件显示，本项目实际到位资金86.00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5740E82D">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3DCDDFC6">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项目过程管理类指标由2个二级指标和5个三级指标构成，权重分19.00分，实际得分17.58分。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本项目预算资金为86.00万元，其中：本级财政安排资金86.00万元，其他资金0.00万元，实际到位资金86.00万元，资金到位率100.00%。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本项目实际支出资金61.62万元，预算执行率71.65%。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综上所述，本指标满分为5.00分，根据评分标准得3.58分，本项目资金分配较合理。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玛纳斯县人民法院财务管理制度》，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我单位已制定《玛纳斯县人民法院财务管理制度》，上述已建立的制度均符合行政事业单位内控管理要求，财务和业务管理制度合法、合规、完整，本项目执行符合上述制度规定。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地区以及本单位资金管理办法执行，项目启动实施后，为了加快本项目的实施，成立了业务费补助项目项目工作领导小组，由党组书记马国栋任组长，负责项目的组织工作；张传永任副组长，负责项目的实施工作；组员包括：张新建和谢娜梅，主要负责项目监督管理、验收以及资金核拨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综上所述，本指标满分为4.00分，根据评分标准得4分，本项目所建立制度执行有效。</w:t>
      </w:r>
    </w:p>
    <w:p w14:paraId="53898B9D">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3A077048">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项目产出类指标由4个二级指标和7个三级指标构成，权重分30.00分，实际得分26.00分。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“图文设计印刷服务次数”指标：预期指标值为“大于等于8次”，实际完成指标值为“12次”，指标完成率为100.00%。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“保障后勤服务人数”指标：预期指标值为“大于等于2人”，实际完成指标值为“4人”，指标完成率为100.00%。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综上所述，本指标满分为9.00分，根据评分标准得9.00分。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“政府采购率”指标：预期指标值为“大于等于90.00%”，实际完成指标值为“100.00%”，指标完成率为100.00%。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“办公环境整洁率”指标：预期指标值为“大于等于85.00%”，实际完成指标值为“100.00%”，指标完成率为100.00%。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综上所述，本指标满分为9.00分，根据评分标准得9.00分。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“后勤服务人员到位及时率”指标：预期指标值为“大于等于95.00%”，实际完成指标值为“95.00%”，指标完成率为100.00%。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“图文设计印刷服务成本”指标：预期指标值为“小于等于43.00万元”，实际完成指标值为“0.63万元”，指标完成率为100.00%。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后勤服务保障成本”指标：预期指标值为“小于等于43.00万元”，实际完成指标值为“60.99万元”，指标完成率为0.00%。偏差率为100.00%。年初绩效目标填报错误，未及时修改调整绩效目标，导致图文设计印刷服务成本指标支出较少，后勤服务保障成本指标超额支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综上所述，本指标满分为8.00分，根据评分标准得4.00分。</w:t>
      </w:r>
    </w:p>
    <w:p w14:paraId="5A73E2E7">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387B65F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项目效益类指标由2个二级指标和2个三级指标构成，权重分30.00分，实际得分30.00分。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“有效保障审判服务”指标：预期指标值为“有效保障”，实际完成指标值为“基本达成目标”，指标完成率为100.00%。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综上所述，本指标满分为20.00分，根据评分标准得20.00分。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“干警对后勤保障的满意度”指标：预期指标值为“大于等于95.00%”，实际完成指标值为“100.00%”，指标完成率为100.00%。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综上所述，本指标满分为10.00分，根据评分标准得10.00分。</w:t>
      </w:r>
    </w:p>
    <w:p w14:paraId="0B278219">
      <w:pPr>
        <w:spacing w:line="540" w:lineRule="exact"/>
        <w:ind w:firstLine="567"/>
        <w:rPr>
          <w:rStyle w:val="18"/>
          <w:rFonts w:ascii="楷体" w:hAnsi="楷体" w:eastAsia="楷体"/>
          <w:color w:val="auto"/>
          <w:spacing w:val="-4"/>
          <w:sz w:val="32"/>
          <w:szCs w:val="32"/>
        </w:rPr>
      </w:pPr>
    </w:p>
    <w:p w14:paraId="3E884B8E">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0E04F67C">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本项目年初预算资金总额为86.00万元，全年预算数为86.00万元，全年执行数为61.62万元，预算执行率为71.65%。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本项目共设置三级指标数量20个，满分指标数量18个，扣分指标数量2个，经分析计算所有三级指标完成率得出，本项目总体完成率为90.00%。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总体完成进度之间的偏差为18.35%。主要偏差原因是：年初绩效目标填报错误，未及时修改调整绩效目标，导致图文设计印刷服务成本指标支出较少，后勤服务保障成本指标超额支出。同时，因此项目资金是补充性经费，因此执行率未达到100.00%。</w:t>
      </w:r>
    </w:p>
    <w:p w14:paraId="678DF914">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3FA086B9">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（一）主要经验及做法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1.聚焦重点任务，推动项目工作落地落实</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2.坚持问题导向，加强执行监控，提高资金效益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3.强化绩效目标刚性约束，及时对项目进行跟踪问效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1.绩效预算认识不够充分，绩效理念有待进一步强化</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管理专业人员匮乏。单位对全面实施绩效管理认识不够，绩效水平不高，单位内部绩效管理工作力量薄弱，多数以财务人员牵头开展绩效管理，目标设置时，财务人员与业务人员沟通不够，导致年初绩效目标填报错误，未及时修改调整绩效目标，年底图文设计印刷服务成本指标支出较少，后勤服务保障成本指标超额支出。业务人员业务能力和素质还有待进一步提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2.绩效档案归档工作有待提高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p>
    <w:p w14:paraId="60A1BE22">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6979D5E5">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1.加强培训，提高相关人员工作水平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采取多种培训形式对单位财务人员、业务科室人员进行集中培训，进一步树牢绩效观念，提高本单位工作人员的绩效管理能力和工作水平，为预算绩效管理相关工作的顺利开展提供保障。同时，财务与业务人员加强沟通交流，提高目标设置的准确性与质量。</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2.扎实推进档案规范化建设，提升档案管理水平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进一步完善项目评价资料。项目启动时同步做好档案的归纳与整理，及时整理、收集、汇总，健全档案资料。二是严格落实自治区关于绩效管理工作档案资料归档的相关要求，强化收集力度，确保归档资料的完整齐全。</w:t>
      </w:r>
    </w:p>
    <w:p w14:paraId="57E6CCC2">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6D02519C">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1.加强培训，提高相关人员工作水平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采取多种培训形式对单位财务人员、业务科室人员进行集中培训，进一步树牢绩效观念，提高本单位工作人员的绩效管理能力和工作水平，为预算绩效管理相关工作的顺利开展提供保障。同时，财务与业务人员加强沟通交流，提高目标设置的准确性与质量。</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2.扎实推进档案规范化建设，提升档案管理水平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进一步完善项目评价资料。项目启动时同步做好档案的归纳与整理，及时整理、收集、汇总，健全档案资料。二是严格落实自治区关于绩效管理工作档案资料归档的相关要求，强化收集力度，确保归档资料的完整齐全。</w:t>
      </w:r>
    </w:p>
    <w:p w14:paraId="195DADB1">
      <w:pPr>
        <w:spacing w:line="540" w:lineRule="exact"/>
        <w:ind w:firstLine="567"/>
        <w:rPr>
          <w:rStyle w:val="18"/>
          <w:rFonts w:ascii="仿宋" w:hAnsi="仿宋" w:eastAsia="仿宋"/>
          <w:b w:val="0"/>
          <w:color w:val="auto"/>
          <w:spacing w:val="-4"/>
          <w:sz w:val="32"/>
          <w:szCs w:val="32"/>
        </w:rPr>
      </w:pPr>
    </w:p>
    <w:p w14:paraId="634DE006">
      <w:pPr>
        <w:spacing w:line="540" w:lineRule="exact"/>
        <w:ind w:firstLine="567"/>
        <w:rPr>
          <w:rStyle w:val="18"/>
          <w:rFonts w:ascii="仿宋" w:hAnsi="仿宋" w:eastAsia="仿宋"/>
          <w:b w:val="0"/>
          <w:color w:val="auto"/>
          <w:spacing w:val="-4"/>
          <w:sz w:val="32"/>
          <w:szCs w:val="32"/>
        </w:rPr>
      </w:pPr>
    </w:p>
    <w:p w14:paraId="1AF9FFF7">
      <w:pPr>
        <w:spacing w:line="540" w:lineRule="exact"/>
        <w:ind w:firstLine="567"/>
        <w:rPr>
          <w:rStyle w:val="18"/>
          <w:rFonts w:ascii="仿宋" w:hAnsi="仿宋" w:eastAsia="仿宋"/>
          <w:b w:val="0"/>
          <w:color w:val="auto"/>
          <w:spacing w:val="-4"/>
          <w:sz w:val="32"/>
          <w:szCs w:val="32"/>
        </w:rPr>
      </w:pPr>
    </w:p>
    <w:p w14:paraId="67D3251E">
      <w:pPr>
        <w:spacing w:line="540" w:lineRule="exact"/>
        <w:ind w:firstLine="567"/>
        <w:rPr>
          <w:rStyle w:val="18"/>
          <w:rFonts w:ascii="仿宋" w:hAnsi="仿宋" w:eastAsia="仿宋"/>
          <w:b w:val="0"/>
          <w:color w:val="auto"/>
          <w:spacing w:val="-4"/>
          <w:sz w:val="32"/>
          <w:szCs w:val="32"/>
        </w:rPr>
      </w:pPr>
    </w:p>
    <w:p w14:paraId="24DFF8CB">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1A43C2-9186-4B41-B684-4E731A7F85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9442B14-E269-42B9-B522-CA745C7B22D7}"/>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B1772BB2-EF14-4595-BC62-7E6A32E4204D}"/>
  </w:font>
  <w:font w:name="华文中宋">
    <w:panose1 w:val="02010600040101010101"/>
    <w:charset w:val="86"/>
    <w:family w:val="auto"/>
    <w:pitch w:val="default"/>
    <w:sig w:usb0="00000287" w:usb1="080F0000" w:usb2="00000000" w:usb3="00000000" w:csb0="0004009F" w:csb1="DFD70000"/>
    <w:embedRegular r:id="rId4" w:fontKey="{9D48DABB-6C2D-4613-BBD8-D6353A39F26A}"/>
  </w:font>
  <w:font w:name="方正小标宋_GBK">
    <w:panose1 w:val="02000000000000000000"/>
    <w:charset w:val="86"/>
    <w:family w:val="script"/>
    <w:pitch w:val="default"/>
    <w:sig w:usb0="A00002BF" w:usb1="38CF7CFA" w:usb2="00082016" w:usb3="00000000" w:csb0="00040001" w:csb1="00000000"/>
    <w:embedRegular r:id="rId5" w:fontKey="{F55CB913-A11F-4470-9A58-5D761A6792F2}"/>
  </w:font>
  <w:font w:name="仿宋_GB2312">
    <w:panose1 w:val="02010609030101010101"/>
    <w:charset w:val="86"/>
    <w:family w:val="modern"/>
    <w:pitch w:val="default"/>
    <w:sig w:usb0="00000001" w:usb1="080E0000" w:usb2="00000000" w:usb3="00000000" w:csb0="00040000" w:csb1="00000000"/>
    <w:embedRegular r:id="rId6" w:fontKey="{F6210625-EF00-4E75-A05E-853EFDC3C6B1}"/>
  </w:font>
  <w:font w:name="楷体">
    <w:panose1 w:val="02010609060101010101"/>
    <w:charset w:val="86"/>
    <w:family w:val="modern"/>
    <w:pitch w:val="default"/>
    <w:sig w:usb0="800002BF" w:usb1="38CF7CFA" w:usb2="00000016" w:usb3="00000000" w:csb0="00040001" w:csb1="00000000"/>
    <w:embedRegular r:id="rId7" w:fontKey="{C8A6AE4C-3C5D-476C-B141-A8A4EC05DA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4D352DAF">
        <w:pPr>
          <w:pStyle w:val="12"/>
          <w:jc w:val="center"/>
        </w:pPr>
        <w:r>
          <w:fldChar w:fldCharType="begin"/>
        </w:r>
        <w:r>
          <w:instrText xml:space="preserve">PAGE   \* MERGEFORMAT</w:instrText>
        </w:r>
        <w:r>
          <w:fldChar w:fldCharType="separate"/>
        </w:r>
        <w:r>
          <w:rPr>
            <w:lang w:val="zh-CN"/>
          </w:rPr>
          <w:t>2</w:t>
        </w:r>
        <w:r>
          <w:fldChar w:fldCharType="end"/>
        </w:r>
      </w:p>
    </w:sdtContent>
  </w:sdt>
  <w:p w14:paraId="26212296">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2A14A5"/>
    <w:rsid w:val="18FE139B"/>
    <w:rsid w:val="233248AC"/>
    <w:rsid w:val="2D320EC2"/>
    <w:rsid w:val="3029612C"/>
    <w:rsid w:val="32A221C5"/>
    <w:rsid w:val="33F20F2A"/>
    <w:rsid w:val="34C44675"/>
    <w:rsid w:val="3B5B5607"/>
    <w:rsid w:val="3CE21B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93</Words>
  <Characters>101</Characters>
  <Lines>4</Lines>
  <Paragraphs>1</Paragraphs>
  <TotalTime>2</TotalTime>
  <ScaleCrop>false</ScaleCrop>
  <LinksUpToDate>false</LinksUpToDate>
  <CharactersWithSpaces>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2026-09-21T08:23:41Z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