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D91D1">
      <w:pPr>
        <w:spacing w:line="540" w:lineRule="exact"/>
        <w:jc w:val="left"/>
        <w:rPr>
          <w:rFonts w:ascii="仿宋" w:hAnsi="仿宋" w:eastAsia="仿宋" w:cs="宋体"/>
          <w:color w:val="auto"/>
          <w:kern w:val="0"/>
          <w:sz w:val="32"/>
          <w:szCs w:val="32"/>
        </w:rPr>
      </w:pPr>
      <w:bookmarkStart w:id="0" w:name="_GoBack"/>
      <w:bookmarkEnd w:id="0"/>
      <w:r>
        <w:rPr>
          <w:rFonts w:hint="eastAsia" w:ascii="仿宋" w:hAnsi="仿宋" w:eastAsia="仿宋" w:cs="宋体"/>
          <w:color w:val="auto"/>
          <w:kern w:val="0"/>
          <w:sz w:val="32"/>
          <w:szCs w:val="32"/>
        </w:rPr>
        <w:t>附件2：</w:t>
      </w:r>
    </w:p>
    <w:p w14:paraId="3C296028">
      <w:pPr>
        <w:spacing w:line="540" w:lineRule="exact"/>
        <w:jc w:val="center"/>
        <w:rPr>
          <w:rFonts w:ascii="华文中宋" w:hAnsi="华文中宋" w:eastAsia="华文中宋" w:cs="宋体"/>
          <w:b/>
          <w:color w:val="auto"/>
          <w:kern w:val="0"/>
          <w:sz w:val="52"/>
          <w:szCs w:val="52"/>
        </w:rPr>
      </w:pPr>
    </w:p>
    <w:p w14:paraId="32382625">
      <w:pPr>
        <w:spacing w:line="540" w:lineRule="exact"/>
        <w:jc w:val="center"/>
        <w:rPr>
          <w:rFonts w:ascii="华文中宋" w:hAnsi="华文中宋" w:eastAsia="华文中宋" w:cs="宋体"/>
          <w:b/>
          <w:color w:val="auto"/>
          <w:kern w:val="0"/>
          <w:sz w:val="52"/>
          <w:szCs w:val="52"/>
        </w:rPr>
      </w:pPr>
    </w:p>
    <w:p w14:paraId="4FE1A365">
      <w:pPr>
        <w:spacing w:line="540" w:lineRule="exact"/>
        <w:jc w:val="center"/>
        <w:rPr>
          <w:rFonts w:ascii="华文中宋" w:hAnsi="华文中宋" w:eastAsia="华文中宋" w:cs="宋体"/>
          <w:b/>
          <w:color w:val="auto"/>
          <w:kern w:val="0"/>
          <w:sz w:val="52"/>
          <w:szCs w:val="52"/>
        </w:rPr>
      </w:pPr>
    </w:p>
    <w:p w14:paraId="540EB192">
      <w:pPr>
        <w:spacing w:line="540" w:lineRule="exact"/>
        <w:jc w:val="center"/>
        <w:rPr>
          <w:rFonts w:ascii="华文中宋" w:hAnsi="华文中宋" w:eastAsia="华文中宋" w:cs="宋体"/>
          <w:b/>
          <w:color w:val="auto"/>
          <w:kern w:val="0"/>
          <w:sz w:val="52"/>
          <w:szCs w:val="52"/>
        </w:rPr>
      </w:pPr>
    </w:p>
    <w:p w14:paraId="6CE59788">
      <w:pPr>
        <w:spacing w:line="540" w:lineRule="exact"/>
        <w:jc w:val="center"/>
        <w:rPr>
          <w:rFonts w:ascii="华文中宋" w:hAnsi="华文中宋" w:eastAsia="华文中宋" w:cs="宋体"/>
          <w:b/>
          <w:color w:val="auto"/>
          <w:kern w:val="0"/>
          <w:sz w:val="52"/>
          <w:szCs w:val="52"/>
        </w:rPr>
      </w:pPr>
    </w:p>
    <w:p w14:paraId="09DD771B">
      <w:pPr>
        <w:spacing w:line="540" w:lineRule="exact"/>
        <w:jc w:val="center"/>
        <w:rPr>
          <w:rFonts w:ascii="华文中宋" w:hAnsi="华文中宋" w:eastAsia="华文中宋" w:cs="宋体"/>
          <w:b/>
          <w:color w:val="auto"/>
          <w:kern w:val="0"/>
          <w:sz w:val="52"/>
          <w:szCs w:val="52"/>
        </w:rPr>
      </w:pPr>
    </w:p>
    <w:p w14:paraId="447420EF">
      <w:pPr>
        <w:spacing w:line="540" w:lineRule="exact"/>
        <w:jc w:val="center"/>
        <w:rPr>
          <w:rFonts w:ascii="方正小标宋_GBK" w:hAnsi="华文中宋" w:eastAsia="方正小标宋_GBK" w:cs="宋体"/>
          <w:b/>
          <w:color w:val="auto"/>
          <w:kern w:val="0"/>
          <w:sz w:val="48"/>
          <w:szCs w:val="48"/>
        </w:rPr>
      </w:pPr>
      <w:r>
        <w:rPr>
          <w:rFonts w:hint="eastAsia" w:ascii="方正小标宋_GBK" w:hAnsi="华文中宋" w:eastAsia="方正小标宋_GBK" w:cs="宋体"/>
          <w:b/>
          <w:color w:val="auto"/>
          <w:kern w:val="0"/>
          <w:sz w:val="48"/>
          <w:szCs w:val="48"/>
        </w:rPr>
        <w:t>项目支出绩效自评报告</w:t>
      </w:r>
    </w:p>
    <w:p w14:paraId="5C044AF8">
      <w:pPr>
        <w:spacing w:line="540" w:lineRule="exact"/>
        <w:jc w:val="center"/>
        <w:rPr>
          <w:rFonts w:ascii="华文中宋" w:hAnsi="华文中宋" w:eastAsia="华文中宋" w:cs="宋体"/>
          <w:b/>
          <w:color w:val="auto"/>
          <w:kern w:val="0"/>
          <w:sz w:val="52"/>
          <w:szCs w:val="52"/>
        </w:rPr>
      </w:pPr>
    </w:p>
    <w:p w14:paraId="75BC95FD">
      <w:pPr>
        <w:spacing w:line="540" w:lineRule="exact"/>
        <w:jc w:val="center"/>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r>
        <w:rPr>
          <w:rStyle w:val="18"/>
          <w:rFonts w:hint="eastAsia" w:ascii="楷体" w:hAnsi="楷体" w:eastAsia="楷体"/>
          <w:color w:val="auto"/>
          <w:spacing w:val="-4"/>
          <w:sz w:val="32"/>
          <w:szCs w:val="32"/>
        </w:rPr>
        <w:t>2023</w:t>
      </w:r>
      <w:r>
        <w:rPr>
          <w:rFonts w:hint="eastAsia" w:hAnsi="宋体" w:eastAsia="仿宋_GB2312" w:cs="宋体"/>
          <w:color w:val="auto"/>
          <w:kern w:val="0"/>
          <w:sz w:val="36"/>
          <w:szCs w:val="36"/>
        </w:rPr>
        <w:t xml:space="preserve">  年度）</w:t>
      </w:r>
    </w:p>
    <w:p w14:paraId="35A8DBE1">
      <w:pPr>
        <w:spacing w:line="540" w:lineRule="exact"/>
        <w:jc w:val="center"/>
        <w:rPr>
          <w:rFonts w:hAnsi="宋体" w:eastAsia="仿宋_GB2312" w:cs="宋体"/>
          <w:color w:val="auto"/>
          <w:kern w:val="0"/>
          <w:sz w:val="30"/>
          <w:szCs w:val="30"/>
        </w:rPr>
      </w:pPr>
    </w:p>
    <w:p w14:paraId="5C48A9A0">
      <w:pPr>
        <w:spacing w:line="540" w:lineRule="exact"/>
        <w:jc w:val="center"/>
        <w:rPr>
          <w:rFonts w:hAnsi="宋体" w:eastAsia="仿宋_GB2312" w:cs="宋体"/>
          <w:color w:val="auto"/>
          <w:kern w:val="0"/>
          <w:sz w:val="30"/>
          <w:szCs w:val="30"/>
        </w:rPr>
      </w:pPr>
    </w:p>
    <w:p w14:paraId="7721F573">
      <w:pPr>
        <w:spacing w:line="540" w:lineRule="exact"/>
        <w:jc w:val="center"/>
        <w:rPr>
          <w:rFonts w:hAnsi="宋体" w:eastAsia="仿宋_GB2312" w:cs="宋体"/>
          <w:color w:val="auto"/>
          <w:kern w:val="0"/>
          <w:sz w:val="30"/>
          <w:szCs w:val="30"/>
        </w:rPr>
      </w:pPr>
    </w:p>
    <w:p w14:paraId="490A87C6">
      <w:pPr>
        <w:spacing w:line="540" w:lineRule="exact"/>
        <w:jc w:val="center"/>
        <w:rPr>
          <w:rFonts w:hAnsi="宋体" w:eastAsia="仿宋_GB2312" w:cs="宋体"/>
          <w:color w:val="auto"/>
          <w:kern w:val="0"/>
          <w:sz w:val="30"/>
          <w:szCs w:val="30"/>
        </w:rPr>
      </w:pPr>
    </w:p>
    <w:p w14:paraId="172BBF81">
      <w:pPr>
        <w:spacing w:line="540" w:lineRule="exact"/>
        <w:jc w:val="center"/>
        <w:rPr>
          <w:rFonts w:hAnsi="宋体" w:eastAsia="仿宋_GB2312" w:cs="宋体"/>
          <w:color w:val="auto"/>
          <w:kern w:val="0"/>
          <w:sz w:val="30"/>
          <w:szCs w:val="30"/>
        </w:rPr>
      </w:pPr>
    </w:p>
    <w:p w14:paraId="74E94C73">
      <w:pPr>
        <w:spacing w:line="540" w:lineRule="exact"/>
        <w:jc w:val="center"/>
        <w:rPr>
          <w:rFonts w:hAnsi="宋体" w:eastAsia="仿宋_GB2312" w:cs="宋体"/>
          <w:color w:val="auto"/>
          <w:kern w:val="0"/>
          <w:sz w:val="30"/>
          <w:szCs w:val="30"/>
        </w:rPr>
      </w:pPr>
    </w:p>
    <w:p w14:paraId="20198874">
      <w:pPr>
        <w:spacing w:line="540" w:lineRule="exact"/>
        <w:rPr>
          <w:rFonts w:hAnsi="宋体" w:eastAsia="仿宋_GB2312" w:cs="宋体"/>
          <w:color w:val="auto"/>
          <w:kern w:val="0"/>
          <w:sz w:val="30"/>
          <w:szCs w:val="30"/>
        </w:rPr>
      </w:pPr>
    </w:p>
    <w:p w14:paraId="53C32CFE">
      <w:pPr>
        <w:spacing w:line="700" w:lineRule="exact"/>
        <w:jc w:val="left"/>
        <w:rPr>
          <w:rFonts w:hAnsi="宋体" w:eastAsia="仿宋_GB2312" w:cs="宋体"/>
          <w:color w:val="auto"/>
          <w:kern w:val="0"/>
          <w:sz w:val="36"/>
          <w:szCs w:val="36"/>
        </w:rPr>
      </w:pPr>
      <w:r>
        <w:rPr>
          <w:rFonts w:hint="eastAsia" w:hAnsi="宋体" w:eastAsia="仿宋_GB2312" w:cs="宋体"/>
          <w:color w:val="auto"/>
          <w:kern w:val="0"/>
          <w:sz w:val="36"/>
          <w:szCs w:val="36"/>
        </w:rPr>
        <w:t xml:space="preserve">     </w:t>
      </w:r>
    </w:p>
    <w:p w14:paraId="7CB0A35E">
      <w:pPr>
        <w:spacing w:line="700" w:lineRule="exact"/>
        <w:ind w:firstLine="900" w:firstLineChars="250"/>
        <w:jc w:val="left"/>
        <w:rPr>
          <w:rFonts w:hAnsi="宋体" w:eastAsia="仿宋_GB2312" w:cs="宋体"/>
          <w:color w:val="auto"/>
          <w:kern w:val="0"/>
          <w:sz w:val="36"/>
          <w:szCs w:val="36"/>
        </w:rPr>
      </w:pPr>
      <w:r>
        <w:rPr>
          <w:rFonts w:hint="eastAsia" w:hAnsi="宋体" w:eastAsia="仿宋_GB2312" w:cs="宋体"/>
          <w:color w:val="auto"/>
          <w:kern w:val="0"/>
          <w:sz w:val="36"/>
          <w:szCs w:val="36"/>
        </w:rPr>
        <w:t>项目名称：</w:t>
      </w:r>
      <w:r>
        <w:rPr>
          <w:rStyle w:val="18"/>
          <w:rFonts w:hint="eastAsia" w:ascii="楷体" w:hAnsi="楷体" w:eastAsia="楷体"/>
          <w:color w:val="auto"/>
          <w:spacing w:val="-4"/>
          <w:sz w:val="32"/>
          <w:szCs w:val="32"/>
        </w:rPr>
        <w:t>业务费补助</w:t>
      </w:r>
    </w:p>
    <w:p w14:paraId="61E55809">
      <w:pPr>
        <w:spacing w:line="540" w:lineRule="exact"/>
        <w:ind w:firstLine="567"/>
        <w:rPr>
          <w:rFonts w:ascii="楷体" w:hAnsi="楷体" w:eastAsia="楷体"/>
          <w:b/>
          <w:bCs/>
          <w:color w:val="auto"/>
          <w:spacing w:val="-4"/>
          <w:sz w:val="32"/>
          <w:szCs w:val="32"/>
        </w:rPr>
      </w:pPr>
      <w:r>
        <w:rPr>
          <w:rFonts w:hint="eastAsia" w:hAnsi="宋体" w:eastAsia="仿宋_GB2312" w:cs="宋体"/>
          <w:color w:val="auto"/>
          <w:kern w:val="0"/>
          <w:sz w:val="36"/>
          <w:szCs w:val="36"/>
        </w:rPr>
        <w:t xml:space="preserve">  实施单位（公章）：</w:t>
      </w:r>
      <w:r>
        <w:rPr>
          <w:rStyle w:val="18"/>
          <w:rFonts w:hint="eastAsia" w:ascii="楷体" w:hAnsi="楷体" w:eastAsia="楷体"/>
          <w:color w:val="auto"/>
          <w:spacing w:val="-4"/>
          <w:sz w:val="28"/>
          <w:szCs w:val="28"/>
        </w:rPr>
        <w:t>呼图壁县人民法院</w:t>
      </w:r>
    </w:p>
    <w:p w14:paraId="1804C7A6">
      <w:pPr>
        <w:spacing w:line="540" w:lineRule="exact"/>
        <w:ind w:firstLine="900" w:firstLineChars="250"/>
        <w:rPr>
          <w:rFonts w:ascii="楷体" w:hAnsi="楷体" w:eastAsia="楷体"/>
          <w:b/>
          <w:bCs/>
          <w:color w:val="auto"/>
          <w:spacing w:val="-4"/>
          <w:sz w:val="28"/>
          <w:szCs w:val="28"/>
        </w:rPr>
      </w:pPr>
      <w:r>
        <w:rPr>
          <w:rFonts w:hint="eastAsia" w:hAnsi="宋体" w:eastAsia="仿宋_GB2312" w:cs="宋体"/>
          <w:color w:val="auto"/>
          <w:kern w:val="0"/>
          <w:sz w:val="36"/>
          <w:szCs w:val="36"/>
        </w:rPr>
        <w:t>主管部门（公章）：</w:t>
      </w:r>
      <w:r>
        <w:rPr>
          <w:rStyle w:val="18"/>
          <w:rFonts w:hint="eastAsia" w:ascii="楷体" w:hAnsi="楷体" w:eastAsia="楷体"/>
          <w:color w:val="auto"/>
          <w:spacing w:val="-4"/>
          <w:sz w:val="28"/>
          <w:szCs w:val="28"/>
        </w:rPr>
        <w:t>呼图壁县人民法院</w:t>
      </w:r>
    </w:p>
    <w:p w14:paraId="6EA68263">
      <w:pPr>
        <w:spacing w:line="540" w:lineRule="exact"/>
        <w:ind w:firstLine="900" w:firstLineChars="250"/>
        <w:rPr>
          <w:rFonts w:ascii="楷体" w:hAnsi="楷体" w:eastAsia="楷体"/>
          <w:b/>
          <w:bCs/>
          <w:color w:val="auto"/>
          <w:spacing w:val="-4"/>
          <w:sz w:val="32"/>
          <w:szCs w:val="32"/>
        </w:rPr>
      </w:pPr>
      <w:r>
        <w:rPr>
          <w:rFonts w:hint="eastAsia" w:hAnsi="宋体" w:eastAsia="仿宋_GB2312" w:cs="宋体"/>
          <w:color w:val="auto"/>
          <w:kern w:val="0"/>
          <w:sz w:val="36"/>
          <w:szCs w:val="36"/>
        </w:rPr>
        <w:t>项目负责人（签章）：</w:t>
      </w:r>
      <w:r>
        <w:rPr>
          <w:rStyle w:val="18"/>
          <w:rFonts w:hint="eastAsia" w:ascii="楷体" w:hAnsi="楷体" w:eastAsia="楷体"/>
          <w:color w:val="auto"/>
          <w:spacing w:val="-4"/>
          <w:sz w:val="32"/>
          <w:szCs w:val="32"/>
        </w:rPr>
        <w:t>马婷婷</w:t>
      </w:r>
    </w:p>
    <w:p w14:paraId="66EF49D7">
      <w:pPr>
        <w:spacing w:line="540" w:lineRule="exact"/>
        <w:ind w:left="273" w:firstLine="567"/>
        <w:rPr>
          <w:rStyle w:val="18"/>
          <w:rFonts w:ascii="楷体" w:hAnsi="楷体" w:eastAsia="楷体"/>
          <w:color w:val="auto"/>
          <w:spacing w:val="-4"/>
          <w:sz w:val="32"/>
          <w:szCs w:val="32"/>
        </w:rPr>
      </w:pPr>
      <w:r>
        <w:rPr>
          <w:rFonts w:hint="eastAsia" w:hAnsi="宋体" w:eastAsia="仿宋_GB2312" w:cs="宋体"/>
          <w:color w:val="auto"/>
          <w:kern w:val="0"/>
          <w:sz w:val="36"/>
          <w:szCs w:val="36"/>
        </w:rPr>
        <w:t>填报时间：</w:t>
      </w:r>
      <w:r>
        <w:rPr>
          <w:rStyle w:val="18"/>
          <w:rFonts w:hint="eastAsia" w:ascii="楷体" w:hAnsi="楷体" w:eastAsia="楷体"/>
          <w:color w:val="auto"/>
          <w:spacing w:val="-4"/>
          <w:sz w:val="32"/>
          <w:szCs w:val="32"/>
        </w:rPr>
        <w:t>2024年03月29日</w:t>
      </w:r>
    </w:p>
    <w:p w14:paraId="49F712F3">
      <w:pPr>
        <w:spacing w:line="700" w:lineRule="exact"/>
        <w:ind w:firstLine="708" w:firstLineChars="236"/>
        <w:jc w:val="left"/>
        <w:rPr>
          <w:rFonts w:hAnsi="宋体" w:eastAsia="仿宋_GB2312" w:cs="宋体"/>
          <w:color w:val="auto"/>
          <w:kern w:val="0"/>
          <w:sz w:val="30"/>
          <w:szCs w:val="30"/>
        </w:rPr>
      </w:pPr>
    </w:p>
    <w:p w14:paraId="3671CF70">
      <w:pPr>
        <w:spacing w:line="540" w:lineRule="exact"/>
        <w:rPr>
          <w:rStyle w:val="18"/>
          <w:rFonts w:ascii="黑体" w:hAnsi="黑体" w:eastAsia="黑体"/>
          <w:b w:val="0"/>
          <w:color w:val="auto"/>
          <w:spacing w:val="-4"/>
          <w:sz w:val="32"/>
          <w:szCs w:val="32"/>
        </w:rPr>
      </w:pPr>
    </w:p>
    <w:p w14:paraId="5D9ED865">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一、基本情况</w:t>
      </w:r>
    </w:p>
    <w:p w14:paraId="47F9946D">
      <w:pPr>
        <w:spacing w:line="540" w:lineRule="exact"/>
        <w:ind w:firstLine="567"/>
        <w:rPr>
          <w:rStyle w:val="18"/>
          <w:rFonts w:hint="default" w:ascii="楷体" w:hAnsi="楷体" w:eastAsia="楷体"/>
          <w:color w:val="auto"/>
          <w:spacing w:val="-4"/>
          <w:sz w:val="32"/>
          <w:szCs w:val="32"/>
          <w:lang w:val="en-US" w:eastAsia="zh-CN"/>
        </w:rPr>
      </w:pPr>
      <w:r>
        <w:rPr>
          <w:rStyle w:val="18"/>
          <w:rFonts w:hint="eastAsia" w:ascii="楷体" w:hAnsi="楷体" w:eastAsia="楷体"/>
          <w:color w:val="auto"/>
          <w:spacing w:val="-4"/>
          <w:sz w:val="32"/>
          <w:szCs w:val="32"/>
        </w:rPr>
        <w:t>（一）项目概况</w:t>
      </w:r>
      <w:r>
        <w:rPr>
          <w:rStyle w:val="18"/>
          <w:rFonts w:hint="eastAsia" w:ascii="楷体" w:hAnsi="楷体" w:eastAsia="楷体"/>
          <w:color w:val="auto"/>
          <w:spacing w:val="-4"/>
          <w:sz w:val="32"/>
          <w:szCs w:val="32"/>
          <w:lang w:eastAsia="zh-CN"/>
        </w:rPr>
        <w:t>。</w:t>
      </w:r>
    </w:p>
    <w:p w14:paraId="63C3BC35">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1.项目背景</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昌州党财【2023】001号文件要求，下达2023年业务费补助项目资金，预算安排资金总额80.00万元，其中财政资金80.00万元、其他资金0.00万元，80.00万元主要用于弥补办公经费不足，保障办案人员的审判业务、宣传、设备购置、院落绿化维修改造等经费支出，该项目的实施为广大干警提供温馨、舒适、优美的工作环境，促进改善办案基础设施和办案条件，使干警更好地开展好业务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2.主要内容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（1）项目名称：业务费补助项目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主要内容：呼图壁县人民检察院业务费补助项目，该项目的实施为广大干警提供温馨、舒适、优美的工作环境，促进改善办案基础设施和办案条件，使干警更好地开展好业务工作。80.00万元业务补助费用于修缮工程数量等于3个，维修支付资金59.72万元，设备购置数量8台，设备购置资金支付20.10万元。该项目的实施能促进改善办案基础设施和办案条件，使干警更好地开展好业务工作，使干警人员满意度达到97.33%以上。本项目于2023年1月开始实施，</w:t>
      </w:r>
      <w:r>
        <w:rPr>
          <w:rStyle w:val="18"/>
          <w:rFonts w:hint="eastAsia" w:ascii="楷体" w:hAnsi="楷体" w:eastAsia="楷体"/>
          <w:b w:val="0"/>
          <w:bCs w:val="0"/>
          <w:color w:val="auto"/>
          <w:spacing w:val="-4"/>
          <w:sz w:val="32"/>
          <w:szCs w:val="32"/>
          <w:lang w:eastAsia="zh-CN"/>
        </w:rPr>
        <w:t>截至2023年</w:t>
      </w:r>
      <w:r>
        <w:rPr>
          <w:rStyle w:val="18"/>
          <w:rFonts w:hint="eastAsia" w:ascii="楷体" w:hAnsi="楷体" w:eastAsia="楷体"/>
          <w:b w:val="0"/>
          <w:bCs w:val="0"/>
          <w:color w:val="auto"/>
          <w:spacing w:val="-4"/>
          <w:sz w:val="32"/>
          <w:szCs w:val="32"/>
        </w:rPr>
        <w:t>12月已全部完成，通过本项目的实施改善办案基础设施和办案条件，使干警更好地开展好业务工作。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3.实施情况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实施主体：呼图壁县人民法院。</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实施时间：本项目实施周期为2023年1月-2023年12月。</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施情况：项目从2023年1月开始实施，该项目的实施为广大干警提供温馨、舒适、优美的工作环境，促进改善办案基础设施和办案条件，使干警更好地开展好业务工作，80.00万元业务补助费用于修缮工程数量等于3个，维修支付资金59.72万元，设备购置数量8台，设备购置资金支付20.10万元。该项目的实施能促进改善办案基础设施和办案条件，使干警更好地开展好业务工作，使干警人员满意度达到97.33%，本项目于2023年12月完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4.项目实施主体</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（1）主要职能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人民法院是通过审判刑事案件、民事案件、行政案件</w:t>
      </w:r>
      <w:r>
        <w:rPr>
          <w:rStyle w:val="18"/>
          <w:rFonts w:hint="eastAsia" w:ascii="楷体" w:hAnsi="楷体" w:eastAsia="楷体"/>
          <w:b w:val="0"/>
          <w:bCs w:val="0"/>
          <w:color w:val="auto"/>
          <w:spacing w:val="-4"/>
          <w:sz w:val="32"/>
          <w:szCs w:val="32"/>
          <w:lang w:eastAsia="zh-CN"/>
        </w:rPr>
        <w:t>以及</w:t>
      </w:r>
      <w:r>
        <w:rPr>
          <w:rStyle w:val="18"/>
          <w:rFonts w:hint="eastAsia" w:ascii="楷体" w:hAnsi="楷体" w:eastAsia="楷体"/>
          <w:b w:val="0"/>
          <w:bCs w:val="0"/>
          <w:color w:val="auto"/>
          <w:spacing w:val="-4"/>
          <w:sz w:val="32"/>
          <w:szCs w:val="32"/>
        </w:rPr>
        <w:t>法律规定的其他案件，惩罚犯罪，保障无罪的人不受刑事追责，解决民事、行政纠纷，保护个人和组织的合法权益，监督行政机关依法行使职权，维护国家安全和社会秩序，维护社会公平正义，维护国家法制统一、尊严和权威，保障中国特色社会主义建设的顺利进行。</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（2）机构设置情况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呼图壁县人民法院，该单位纳入2023年部门决算编制范围的有7个科室，分别是：行政办公室，政治部，法警大队，执行局，立案庭，审判庭，行庭等。</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编制人数为76人，其中：行政人员编制73人。实有在职人数73人，其中：行政在职73人。离退休人员28人，其中：行政退休人员28人。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5.资金投入和使用情况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（1）项目资金安排落实、总投入等情况分析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本项目预算安排总额为80.00万元，资金来源为财政拨款资金，其中：财政资金80.00万元，其他资金0.00万元，2023年实际收到预算资金80.00万元，预算资金到位率为100.00%。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（2）项目资金实际使用情况分析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截至2023年12月31日，本项目实际支付资金79.82万元，预算执行率99.77%。本项目资金主要用于支付修缮费用59.72万元、设备购置费用20.10万元。</w:t>
      </w:r>
    </w:p>
    <w:p w14:paraId="4DDAAEEF">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（二）项目绩效目标</w:t>
      </w:r>
    </w:p>
    <w:p w14:paraId="53EB66A9">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1.总体目标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主要内容为呼图壁县人民检察院业务费补助项目，该项目的实施为广大干警提供温馨、舒适、优美的工作环境，促进改善办案基础设施和办案条件，使干警更好地开展好业务工作，80.00万元业务补助费用于修缮工程数量等于3个，维修支付资金59.00万元，设备购置数量8台，设备购置资金支付21.00万元。该项目的实施能促进改善办案基础设施和办案条件，使干警更好地开展好业务工作，使干警人员满意度达到97.00%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2.阶段性目标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（1）项目产出指标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①数量指标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“修缮工程量”指标，预期指标值为“大于等于1个”；</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“设备购置数量”指标，预期指标值为“大于等于8台”；</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②质量指标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“政府采购率”指标，预期指标值为“等于100.00%”；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 xml:space="preserve"> “大型修缮验收合格率”指标，预期指标值为“等于100.00%”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③时效指标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（2）项目成本指标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“大型修缮控制成本”指标，预期指标值为“小于等于59.00万元”；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“设备采购控制成本”指标，预期指标值为“小于等于21.00万元”；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③生态环境成本指标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（3）项目效益指标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①经济效益指标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②社会效益指标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“干警办案业务效率提高”指标，预期指标值为“提高”；</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③生态效益指标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无此类指标。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（4）项目满意度指标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①满意度指标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“干警满意度”指标，预期指标值为“大于等于96.00%”；</w:t>
      </w:r>
    </w:p>
    <w:p w14:paraId="124834CE">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二、绩效评价工作开展情况</w:t>
      </w:r>
    </w:p>
    <w:p w14:paraId="6D3D5D6A">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（一）绩效评价目的、对象和范围</w:t>
      </w:r>
    </w:p>
    <w:p w14:paraId="02901F2D">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1.绩效评价的目的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2.绩效评价对象</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此次我单位根据《财政支出绩效评价管理暂行办法》（财预〔2020〕10号）文件要求实施评价工作，本次评价对象为业务费补助项目，评价核心为项目资金、项目产出、项目效益。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3.绩效评价范围</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4.绩效评价依据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w:t>
      </w:r>
      <w:r>
        <w:rPr>
          <w:rStyle w:val="18"/>
          <w:rFonts w:hint="eastAsia" w:ascii="楷体" w:hAnsi="楷体" w:eastAsia="楷体"/>
          <w:b w:val="0"/>
          <w:bCs w:val="0"/>
          <w:color w:val="auto"/>
          <w:spacing w:val="-4"/>
          <w:sz w:val="32"/>
          <w:szCs w:val="32"/>
        </w:rPr>
        <w:tab/>
      </w:r>
      <w:r>
        <w:rPr>
          <w:rStyle w:val="18"/>
          <w:rFonts w:hint="eastAsia" w:ascii="楷体" w:hAnsi="楷体" w:eastAsia="楷体"/>
          <w:b w:val="0"/>
          <w:bCs w:val="0"/>
          <w:color w:val="auto"/>
          <w:spacing w:val="-4"/>
          <w:sz w:val="32"/>
          <w:szCs w:val="32"/>
        </w:rPr>
        <w:t>《中华人民共和国预算法》；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w:t>
      </w:r>
      <w:r>
        <w:rPr>
          <w:rStyle w:val="18"/>
          <w:rFonts w:hint="eastAsia" w:ascii="楷体" w:hAnsi="楷体" w:eastAsia="楷体"/>
          <w:b w:val="0"/>
          <w:bCs w:val="0"/>
          <w:color w:val="auto"/>
          <w:spacing w:val="-4"/>
          <w:sz w:val="32"/>
          <w:szCs w:val="32"/>
        </w:rPr>
        <w:tab/>
      </w:r>
      <w:r>
        <w:rPr>
          <w:rStyle w:val="18"/>
          <w:rFonts w:hint="eastAsia" w:ascii="楷体" w:hAnsi="楷体" w:eastAsia="楷体"/>
          <w:b w:val="0"/>
          <w:bCs w:val="0"/>
          <w:color w:val="auto"/>
          <w:spacing w:val="-4"/>
          <w:sz w:val="32"/>
          <w:szCs w:val="32"/>
        </w:rPr>
        <w:t>《中共中央国务院关于全面实施预算绩效管理的意见》（中发〔2018〕34号）；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w:t>
      </w:r>
      <w:r>
        <w:rPr>
          <w:rStyle w:val="18"/>
          <w:rFonts w:hint="eastAsia" w:ascii="楷体" w:hAnsi="楷体" w:eastAsia="楷体"/>
          <w:b w:val="0"/>
          <w:bCs w:val="0"/>
          <w:color w:val="auto"/>
          <w:spacing w:val="-4"/>
          <w:sz w:val="32"/>
          <w:szCs w:val="32"/>
        </w:rPr>
        <w:tab/>
      </w:r>
      <w:r>
        <w:rPr>
          <w:rStyle w:val="18"/>
          <w:rFonts w:hint="eastAsia" w:ascii="楷体" w:hAnsi="楷体" w:eastAsia="楷体"/>
          <w:b w:val="0"/>
          <w:bCs w:val="0"/>
          <w:color w:val="auto"/>
          <w:spacing w:val="-4"/>
          <w:sz w:val="32"/>
          <w:szCs w:val="32"/>
        </w:rPr>
        <w:t>《项目支出绩效评价管理办法》（财预〔2020〕10号）；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w:t>
      </w:r>
      <w:r>
        <w:rPr>
          <w:rStyle w:val="18"/>
          <w:rFonts w:hint="eastAsia" w:ascii="楷体" w:hAnsi="楷体" w:eastAsia="楷体"/>
          <w:b w:val="0"/>
          <w:bCs w:val="0"/>
          <w:color w:val="auto"/>
          <w:spacing w:val="-4"/>
          <w:sz w:val="32"/>
          <w:szCs w:val="32"/>
        </w:rPr>
        <w:tab/>
      </w:r>
      <w:r>
        <w:rPr>
          <w:rStyle w:val="18"/>
          <w:rFonts w:hint="eastAsia" w:ascii="楷体" w:hAnsi="楷体" w:eastAsia="楷体"/>
          <w:b w:val="0"/>
          <w:bCs w:val="0"/>
          <w:color w:val="auto"/>
          <w:spacing w:val="-4"/>
          <w:sz w:val="32"/>
          <w:szCs w:val="32"/>
        </w:rPr>
        <w:t>《自治区财政支出绩效评价管理暂行办法》（新财预〔2018〕189号）；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w:t>
      </w:r>
      <w:r>
        <w:rPr>
          <w:rStyle w:val="18"/>
          <w:rFonts w:hint="eastAsia" w:ascii="楷体" w:hAnsi="楷体" w:eastAsia="楷体"/>
          <w:b w:val="0"/>
          <w:bCs w:val="0"/>
          <w:color w:val="auto"/>
          <w:spacing w:val="-4"/>
          <w:sz w:val="32"/>
          <w:szCs w:val="32"/>
        </w:rPr>
        <w:tab/>
      </w:r>
      <w:r>
        <w:rPr>
          <w:rStyle w:val="18"/>
          <w:rFonts w:hint="eastAsia" w:ascii="楷体" w:hAnsi="楷体" w:eastAsia="楷体"/>
          <w:b w:val="0"/>
          <w:bCs w:val="0"/>
          <w:color w:val="auto"/>
          <w:spacing w:val="-4"/>
          <w:sz w:val="32"/>
          <w:szCs w:val="32"/>
        </w:rPr>
        <w:t>《呼图壁县人民法院财务管理制度》</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w:t>
      </w:r>
      <w:r>
        <w:rPr>
          <w:rStyle w:val="18"/>
          <w:rFonts w:hint="eastAsia" w:ascii="楷体" w:hAnsi="楷体" w:eastAsia="楷体"/>
          <w:b w:val="0"/>
          <w:bCs w:val="0"/>
          <w:color w:val="auto"/>
          <w:spacing w:val="-4"/>
          <w:sz w:val="32"/>
          <w:szCs w:val="32"/>
        </w:rPr>
        <w:tab/>
      </w:r>
      <w:r>
        <w:rPr>
          <w:rStyle w:val="18"/>
          <w:rFonts w:hint="eastAsia" w:ascii="楷体" w:hAnsi="楷体" w:eastAsia="楷体"/>
          <w:b w:val="0"/>
          <w:bCs w:val="0"/>
          <w:color w:val="auto"/>
          <w:spacing w:val="-4"/>
          <w:sz w:val="32"/>
          <w:szCs w:val="32"/>
        </w:rPr>
        <w:t>《呼图壁县人民法院内控管理制度》</w:t>
      </w:r>
    </w:p>
    <w:p w14:paraId="44B38484">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（二）绩效评价原则、评价指标体系、评价方法、评价标准</w:t>
      </w:r>
    </w:p>
    <w:p w14:paraId="0C6CCF8F">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1.绩效评价原则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（4）公开透明。绩效评价结果应依法依规公开，并自觉接受社会监督。</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2.绩效评价指标体系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3.评价方法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color w:val="auto"/>
          <w:spacing w:val="-4"/>
          <w:sz w:val="32"/>
          <w:szCs w:val="32"/>
          <w:lang w:eastAsia="zh-CN"/>
        </w:rPr>
        <w:t>以及</w:t>
      </w:r>
      <w:r>
        <w:rPr>
          <w:rStyle w:val="18"/>
          <w:rFonts w:hint="eastAsia" w:ascii="楷体" w:hAnsi="楷体" w:eastAsia="楷体"/>
          <w:b w:val="0"/>
          <w:bCs w:val="0"/>
          <w:color w:val="auto"/>
          <w:spacing w:val="-4"/>
          <w:sz w:val="32"/>
          <w:szCs w:val="32"/>
        </w:rPr>
        <w:t>公众评判法。</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4.评价标准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0B8DD6F6">
      <w:pPr>
        <w:spacing w:line="540" w:lineRule="exact"/>
        <w:ind w:firstLine="567" w:firstLineChars="181"/>
        <w:rPr>
          <w:rStyle w:val="18"/>
          <w:rFonts w:ascii="楷体" w:hAnsi="楷体" w:eastAsia="楷体"/>
          <w:color w:val="auto"/>
          <w:spacing w:val="-4"/>
          <w:sz w:val="32"/>
          <w:szCs w:val="32"/>
        </w:rPr>
      </w:pPr>
      <w:r>
        <w:rPr>
          <w:rStyle w:val="18"/>
          <w:rFonts w:hint="eastAsia" w:ascii="楷体" w:hAnsi="楷体" w:eastAsia="楷体"/>
          <w:color w:val="auto"/>
          <w:spacing w:val="-4"/>
          <w:sz w:val="32"/>
          <w:szCs w:val="32"/>
        </w:rPr>
        <w:t>（三）绩效评价工作过程</w:t>
      </w:r>
    </w:p>
    <w:p w14:paraId="29BC6F7F">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1.前期准备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于2024年3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范志伟（评价小组组长）：主要负责项目策划和监督，全面负责项目绩效评价办稿的最终质量，对评估人员出具的最终报告质量进行复核，确保评估结果的客观性；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闫雪（评价小组组员）：主要负责资料的收集，取证、数据统计分析；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李慧兰（评价小组组员）：主要负责项目报告的制定，指标的研判，数据分析及报告撰写。</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2024年3月1日-3月13日，评价工作进入实施阶段。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调研了解，该项目主要受益群体包括全院干警。我们根据绩效评价目标和绩效指标体系，设计满意度调查问卷进行问卷调查，其中50受益对象共选取样本50人，共发放问卷50份，最终收回50份；全院干警受益对象共选取样本50人，共发放问卷50份，最终收回50份。</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3.分析评价</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2024年3月13日-3月25日，评价小组按照绩效评价的原则和规范，对取得的资料进行审查核实，对采集的数据进行分析，按照绩效评价指标评分表逐项进行打分、分析、汇总各方评价结果。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4.撰写与提交评价报告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2024年3月25-4月16日，评价小组撰写绩效评价报告，按照新疆维吾尔自治区财政绩效管理信息系统绩效评价模块中统一格式和文本框架撰写绩效评价报告并提交审核。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5.问题整改</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6.档案整理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建立和落实档案管理制度，将项目相关资料存档，包括但不限于：评价项目基本情况和相关文件、评价实施方案、项目支付资料等相关档案。</w:t>
      </w:r>
    </w:p>
    <w:p w14:paraId="403551DE">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rPr>
        <w:t>三、综合评价情况及评价结论</w:t>
      </w:r>
    </w:p>
    <w:p w14:paraId="6656EB75">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（一）综合评价情况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评价，本项目较大程度达成年初设立的绩效目标项目达成（部分达成）年初设立的绩效目标，在实施过程中取得了良好的成效，具体表现在：通过项目的实施，完成了3个修缮工程，、完成了8台设备购置，政府采购率达到100.00%，大型修缮验收合格率达到100.00%，大型修缮控制成本59.72万元，设备采购控制成本20.10万元，进改善办案基础设施和办案条件，使干警更好地开展好业务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（二）评价结论</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此次绩效评价通过绩效评价小组论证的评价指标体系及评分标准，采用因素分析法和比较法对本项目绩效进行客观评价，本项目共设置三级指标数量19个，实现三级指标数量17个，总体完成率为89.47%。最终评分结果：总分为94.99分，绩效评级为“优秀”。综合评价结论如下：</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项目决策类指标共设置6个，满分指标6个，得分率100.00%；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过程管理类指标共设置5个，满分指标4个，得分率99.95%；</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项目产出类指标共设置6个，满分指标5个，得分率83.33%；</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项目效益类指标共设置2个，满分指标2个，得分率100.00%。</w:t>
      </w:r>
    </w:p>
    <w:p w14:paraId="706B06F2">
      <w:pPr>
        <w:spacing w:line="540" w:lineRule="exact"/>
        <w:ind w:firstLine="640"/>
        <w:rPr>
          <w:rStyle w:val="18"/>
          <w:rFonts w:ascii="黑体" w:hAnsi="黑体" w:eastAsia="黑体"/>
          <w:color w:val="auto"/>
        </w:rPr>
      </w:pPr>
      <w:r>
        <w:rPr>
          <w:rStyle w:val="18"/>
          <w:rFonts w:hint="eastAsia" w:ascii="黑体" w:hAnsi="黑体" w:eastAsia="黑体"/>
          <w:b w:val="0"/>
          <w:color w:val="auto"/>
          <w:spacing w:val="-4"/>
          <w:sz w:val="32"/>
          <w:szCs w:val="32"/>
        </w:rPr>
        <w:t>四、绩效评价指标分析</w:t>
      </w:r>
      <w:r>
        <w:rPr>
          <w:rStyle w:val="18"/>
          <w:rFonts w:hint="eastAsia" w:ascii="黑体" w:hAnsi="黑体" w:eastAsia="黑体"/>
          <w:color w:val="auto"/>
        </w:rPr>
        <w:t xml:space="preserve"> </w:t>
      </w:r>
    </w:p>
    <w:p w14:paraId="5F7854F9">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（一）</w:t>
      </w:r>
      <w:r>
        <w:rPr>
          <w:rStyle w:val="18"/>
          <w:rFonts w:hint="eastAsia" w:ascii="楷体" w:hAnsi="楷体" w:eastAsia="楷体"/>
          <w:color w:val="auto"/>
          <w:spacing w:val="-4"/>
          <w:sz w:val="32"/>
          <w:szCs w:val="32"/>
        </w:rPr>
        <w:t>项目决策情况</w:t>
      </w:r>
    </w:p>
    <w:p w14:paraId="72C0F19E">
      <w:pPr>
        <w:tabs>
          <w:tab w:val="center" w:pos="4295"/>
        </w:tabs>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项目决策类指标由3个二级指标和6个三级指标构成，权重分21.00分，实际得分21.00分。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1.项目立项情况分析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（1）立项依据充分性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本项目立项符合依据《中华人民共和国预算法》、《项目支出绩效评价管理办法》（财预〔2020〕10号）等要求：“全面实施预算绩效管理，建立科学且合理的项目支出绩效评价管理体系”；本项目立项符合《中共 中央国务院关于全面实施预算绩效管理的意见》（中发〔2018〕34号）中：“提高财政资源配置效率和使用效益”内容，符合行业发展规划和政策要求；本项目立项符合《呼图壁县人民检察院位配置内设机构和人员编制规定》中职责范围中的“单位办案办公环境提升要求”，属于我单位履职所需；根据《财政资金直接支付申请书》，本项目资金性质为“公共财政预算”功能分类为“一般行政管理事务”经济分类为“维修（护）费”、“办公费”属于公共财政支持范围，符合中央、地方事权支出责任划分原则；经检查我单位财政应用平台指标，本项目不存在重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综上所述，本指标满分为5.00分，根据评分标准得5.00分，本项目立项依据充分。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（2）立项程序规范性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本项目为非基础建设类项目，属于专项资金安排项目，不涉及事前绩效评估、可行性研究以及风险评估，由我单位严格按照《呼图壁县人民法院2023年度预算批复》文件要求实施项目。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综上所述，本指标满分为3.00分，根据评分标准得3.00分，本项目立项程序规范。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2.绩效目标情况分析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（1）绩效目标合理性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已设置年度绩效目标，具体内容为为广大干警提供温馨、舒适、优美的工作环境，促进改善办案基础设施和办案条件，使干警更好地开展好业务工作”；本项目实际工作内容为：完成了3个修缮工程，完成了8台设备购置，政府采购率达到100%，大型修缮验收合格率达到100%，大型修缮控制成本59.72万元，设备采购控制成本20.1万元，有效保障了我院正常办案需求的保障，年度绩效目标完成，预期产出效益和效果符合正常的业绩水平。</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综上所述，本指标满分为4.00分，根据评分标准得4.00分，本项目绩效目标设置合理。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（2）绩效指标明确性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检查我单位年初设置的《项目支出绩效目标表》，得出如下结论：本项目已将年度绩效目标进行细化为绩效指标体系，共设置一级指标4个，二级指标5个，三级指标8个，定量指标7个，定性指标1个，指标量化率为87.50%，量化率达70.00%以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综上所述，本指标满分为3.00分，根据评分标准得3.00分，本项目所设置绩效指标明确。</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3.资金投入情况分析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（1）预算编制科学性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本项目预算编制通过市场询价得出，即预算编制较科学且经过论证；</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预算申请内容为业务费补助，项目实际内容为业务费补助，预算申请与《业务费补助项目实施方案》中涉及的项目内容匹配；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申请资金80.00万元，我单位在预算申请中严格按照单位标准和数量进行核算，其中：大型修缮控制成本、59.00万元，设备采购控制成本21.00万元。本项目预算额度测算依据充分，严格按照标准编制，预算确定资金量与实际工作任务相匹配；</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综上所述，本指标满分为4.00分，根据评分标准4.00分，本项目预算编制科学。</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（2）资金分配合理性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分配资金以《关于申请业务费补助项目资金的请示》和《业务费补助项目实施方案》为依据进行资金分配，预算资金分配依据充分。根据《呼图壁县人民法院2023年度预算批复》文件显示，本项目实际到位资金80.00万元，实际分配资金与我单位提交申请的资金额度一致，资金分配额度合理，与我单位实际需求相适应。</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综上所述，本指标满分为2.00分，根据评分标准得2.00分，本项目资金分配合理。</w:t>
      </w:r>
      <w:r>
        <w:rPr>
          <w:rStyle w:val="18"/>
          <w:rFonts w:hint="eastAsia" w:ascii="楷体" w:hAnsi="楷体" w:eastAsia="楷体"/>
          <w:b w:val="0"/>
          <w:bCs w:val="0"/>
          <w:color w:val="auto"/>
          <w:spacing w:val="-4"/>
          <w:sz w:val="32"/>
          <w:szCs w:val="32"/>
        </w:rPr>
        <w:tab/>
      </w:r>
    </w:p>
    <w:p w14:paraId="266D0BD2">
      <w:pPr>
        <w:spacing w:line="540" w:lineRule="exact"/>
        <w:ind w:firstLine="567" w:firstLineChars="181"/>
        <w:rPr>
          <w:rStyle w:val="18"/>
          <w:rFonts w:ascii="楷体" w:hAnsi="楷体" w:eastAsia="楷体"/>
          <w:color w:val="auto"/>
          <w:spacing w:val="-4"/>
          <w:sz w:val="32"/>
          <w:szCs w:val="32"/>
        </w:rPr>
      </w:pPr>
      <w:r>
        <w:rPr>
          <w:rFonts w:hint="eastAsia" w:ascii="楷体" w:hAnsi="楷体" w:eastAsia="楷体"/>
          <w:b/>
          <w:color w:val="auto"/>
          <w:spacing w:val="-4"/>
          <w:sz w:val="32"/>
          <w:szCs w:val="32"/>
        </w:rPr>
        <w:t>（二）</w:t>
      </w:r>
      <w:r>
        <w:rPr>
          <w:rStyle w:val="18"/>
          <w:rFonts w:hint="eastAsia" w:ascii="楷体" w:hAnsi="楷体" w:eastAsia="楷体"/>
          <w:color w:val="auto"/>
          <w:spacing w:val="-4"/>
          <w:sz w:val="32"/>
          <w:szCs w:val="32"/>
        </w:rPr>
        <w:t>项目过程情况</w:t>
      </w:r>
    </w:p>
    <w:p w14:paraId="16D528BB">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项目过程管理类指标由2个二级指标和5个三级指标构成，权重分19.00分，实际得分18.99分。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1.资金管理情况分析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（1）资金到位率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预算资金为80.00万元，其中：本级财政安排资金80.00万元，其他资金0.00万元，实际到位资金80.00万元，资金到位率=100%（实际到位资金/预算资金）×100.00%=（80/80）*100.00%=100%。得分=资金到位率*分值=100%*4=4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（2）预算执行率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本项目实际支出资金80.00万元，预算执行率=（实际支出资金/实际到位资金）×100.00%=（79.82/80）*100.00%=99.77%。得分=预算执行率*分值=99.78%*5=4.99分。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综上所述，本指标满分为5.00分，根据评分标准得4.99分，本项目资金分配合理。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（3）资金使用合规性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通过检查本项目签订的合同、资金申请文件、发票等财务付款凭证，得出本项目资金支出符合国家财经法规、《政府会计制度》以及呼图壁县人民法院财务管理》，资金的拨付有完整的审批程序和手续，资金实际使用方向与预算批复用途一致，不存在截留、挤占、挪用、虚列支出的情况。</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综上所述，本指标满分为4.00分，根据评分标准得4.00分，资金支出符合我单位财务管理制度规定。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2.组织实施情况分析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（1）管理制度健全性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我单位已制定《呼图壁县人民法院财务管理办法》，上述已建立的制度均符合行政事业单位内控管理要求，财务和业务管理制度合法、合规、完整，本项目执行符合上述制度规定。</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综上所述，本指标满分为2.00分，根据评分标准得2.00分，项目制度建设健全。</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（2）制度执行有效性</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业务费补助项目工作领导小组，由党组书记范志伟任组长，负责项目的组织工作闫雪任副组长，负责项目的实施工作；组员包括：李慧兰和潘思佳，主要负责项目监督管理、验收以及资金核拨等工作。</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综上所述，本指标满分为4.00分，根据评分标准得4.00分，本项目所建立制度执行有效。</w:t>
      </w:r>
    </w:p>
    <w:p w14:paraId="6D6BE523">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（三）</w:t>
      </w:r>
      <w:r>
        <w:rPr>
          <w:rStyle w:val="18"/>
          <w:rFonts w:hint="eastAsia" w:ascii="楷体" w:hAnsi="楷体" w:eastAsia="楷体"/>
          <w:color w:val="auto"/>
          <w:spacing w:val="-4"/>
          <w:sz w:val="32"/>
          <w:szCs w:val="32"/>
        </w:rPr>
        <w:t>项目产出情况</w:t>
      </w:r>
    </w:p>
    <w:p w14:paraId="67E128CA">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项目产出类指标由3个二级指标和6个三级指标构成，权重分30.00分，实际得分25.00分。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1.数量指标完成情况分析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“修缮工程量”指标，预期指标值为“大于等于1个”；实际完成3个，指标完成率为100.00%。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“设备购置数量”指标，预期指标值为“大于等于1台”；实际完成8台，指标完成率为100.00%。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2.质量指标完成情况分析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“政府采购率”指标，预期指标值为“等于100.00%”；实际完成“100.00%”，指标完成率为100.00%。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“大型修缮验收合格率”指标，预期指标值为“等于100.00%”；实际完成“100.00%”，指标完成率为100.00%。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3.时效指标完成情况分析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本项目无该项指标。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4.成本指标完成情况分析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“大型修缮控制成本”指标，预期指标值为“小于等于59.00万元”；</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实际完成“59.72万元万元”，指标完成率为101.22%。偏差率为1.22%，偏差原因主要为：年初项目预算计划指标设置不合理，导致实际完成值超过年初设置目标。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“设备采购控制成本”指标，预期指标值为“小于等于21.00万元”；实际完成“20.10万元”，指标完成率为100.00%。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综上所述，本指标满分为5.00分，根据评分标准得5.00分。</w:t>
      </w:r>
    </w:p>
    <w:p w14:paraId="27A299C3">
      <w:pPr>
        <w:spacing w:line="540" w:lineRule="exact"/>
        <w:ind w:firstLine="567" w:firstLineChars="181"/>
        <w:rPr>
          <w:rFonts w:ascii="楷体" w:hAnsi="楷体" w:eastAsia="楷体"/>
          <w:b/>
          <w:color w:val="auto"/>
          <w:spacing w:val="-4"/>
          <w:sz w:val="32"/>
          <w:szCs w:val="32"/>
        </w:rPr>
      </w:pPr>
      <w:r>
        <w:rPr>
          <w:rFonts w:hint="eastAsia" w:ascii="楷体" w:hAnsi="楷体" w:eastAsia="楷体"/>
          <w:b/>
          <w:color w:val="auto"/>
          <w:spacing w:val="-4"/>
          <w:sz w:val="32"/>
          <w:szCs w:val="32"/>
        </w:rPr>
        <w:t>（四）</w:t>
      </w:r>
      <w:r>
        <w:rPr>
          <w:rStyle w:val="18"/>
          <w:rFonts w:hint="eastAsia" w:ascii="楷体" w:hAnsi="楷体" w:eastAsia="楷体"/>
          <w:color w:val="auto"/>
          <w:spacing w:val="-4"/>
          <w:sz w:val="32"/>
          <w:szCs w:val="32"/>
        </w:rPr>
        <w:t>项目效益情况</w:t>
      </w:r>
    </w:p>
    <w:p w14:paraId="77D41E52">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项目效益类指标由2个二级指标和2个三级指标构成，权重分30.00分，实际得分30.00分。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1.经济效益完成情况分析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本项目无该项指标。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2.社会效益完成情况分析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“干警办案业务效率”指标：预期指标值为“提高”，实际完成指标值为“不断提高”，指标完成率为100.00%。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综上所述，本指标满分为15.00分，根据评分标准得15.00分。</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3.生态效益完成情况分析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本项目无该项指标。</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4.满意度完成情况分析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“干警满意度”指标：预期指标值为“大于等于96.00%”，实际完成指标值为“97.33%”，指标完成率为100.00%。</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综上所述，本指标满分为15.00分，根据评分标准得15.00分。</w:t>
      </w:r>
    </w:p>
    <w:p w14:paraId="37A3DC36">
      <w:pPr>
        <w:spacing w:line="540" w:lineRule="exact"/>
        <w:ind w:firstLine="567"/>
        <w:rPr>
          <w:rStyle w:val="18"/>
          <w:rFonts w:ascii="楷体" w:hAnsi="楷体" w:eastAsia="楷体"/>
          <w:color w:val="auto"/>
          <w:spacing w:val="-4"/>
          <w:sz w:val="32"/>
          <w:szCs w:val="32"/>
        </w:rPr>
      </w:pPr>
    </w:p>
    <w:p w14:paraId="19384ADA">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预算执行进度与绩效指标偏差</w:t>
      </w:r>
    </w:p>
    <w:p w14:paraId="7372E89B">
      <w:pPr>
        <w:spacing w:line="540" w:lineRule="exact"/>
        <w:ind w:firstLine="567"/>
        <w:rPr>
          <w:rStyle w:val="18"/>
          <w:rFonts w:hint="default" w:ascii="黑体" w:hAnsi="黑体" w:eastAsia="黑体"/>
          <w:b w:val="0"/>
          <w:color w:val="auto"/>
          <w:spacing w:val="-4"/>
          <w:sz w:val="32"/>
          <w:szCs w:val="32"/>
          <w:lang w:val="en-US" w:eastAsia="zh-CN"/>
        </w:rPr>
      </w:pPr>
      <w:r>
        <w:rPr>
          <w:rStyle w:val="18"/>
          <w:rFonts w:hint="eastAsia" w:ascii="楷体" w:hAnsi="楷体" w:eastAsia="楷体"/>
          <w:b w:val="0"/>
          <w:bCs w:val="0"/>
          <w:color w:val="auto"/>
          <w:spacing w:val="-4"/>
          <w:sz w:val="32"/>
          <w:szCs w:val="32"/>
        </w:rPr>
        <w:t>本项目年初预算资金总额为80.00万元，全年预算数为80.00万元，全年执行数为79.82万元，预算执行率为99.77%。</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本项目共设置三级指标数量19个，满分指标数量17个，扣分指标数量2个，经分析计算所有三级指标完成率得出，本项目总体完成率为94.92%。</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综上所述本项目预算执行进度与总体完成进度之间的偏差为4.85%。主要偏差原因是：期初设定指标不完善。</w:t>
      </w:r>
    </w:p>
    <w:p w14:paraId="36424C68">
      <w:pPr>
        <w:numPr>
          <w:ilvl w:val="0"/>
          <w:numId w:val="1"/>
        </w:numPr>
        <w:spacing w:line="540" w:lineRule="exact"/>
        <w:ind w:firstLine="640"/>
        <w:rPr>
          <w:rStyle w:val="18"/>
          <w:rFonts w:hint="eastAsia" w:ascii="黑体" w:hAnsi="黑体" w:eastAsia="黑体"/>
          <w:b w:val="0"/>
          <w:color w:val="auto"/>
          <w:spacing w:val="-4"/>
          <w:sz w:val="32"/>
          <w:szCs w:val="32"/>
        </w:rPr>
      </w:pPr>
      <w:r>
        <w:rPr>
          <w:rStyle w:val="18"/>
          <w:rFonts w:hint="eastAsia" w:ascii="黑体" w:hAnsi="黑体" w:eastAsia="黑体"/>
          <w:b w:val="0"/>
          <w:color w:val="auto"/>
          <w:spacing w:val="-4"/>
          <w:sz w:val="32"/>
          <w:szCs w:val="32"/>
        </w:rPr>
        <w:t>主要经验及做法、存在的问题及原因分析</w:t>
      </w:r>
    </w:p>
    <w:p w14:paraId="10D7929B">
      <w:pPr>
        <w:spacing w:line="540" w:lineRule="exact"/>
        <w:ind w:firstLine="567"/>
        <w:rPr>
          <w:rFonts w:ascii="仿宋_GB2312" w:eastAsia="仿宋_GB2312"/>
          <w:color w:val="auto"/>
          <w:spacing w:val="-4"/>
          <w:sz w:val="32"/>
          <w:szCs w:val="32"/>
        </w:rPr>
      </w:pPr>
      <w:r>
        <w:rPr>
          <w:rStyle w:val="18"/>
          <w:rFonts w:hint="eastAsia" w:ascii="楷体" w:hAnsi="楷体" w:eastAsia="楷体"/>
          <w:b w:val="0"/>
          <w:bCs w:val="0"/>
          <w:color w:val="auto"/>
          <w:spacing w:val="-4"/>
          <w:sz w:val="32"/>
          <w:szCs w:val="32"/>
        </w:rPr>
        <w:t>为有效推进项目工作开展，提高财政资金使用效益，项目领导小组进一步强化项目意识，明确责任和时间节点，一项一项抓好具体落实，确保了项目按时保质完成，保障了项目效益发挥。</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在监督环节上，实行关口前移，形成多环节全过程的监督管理格局，尽量早发现问题，早解决问题，提高专项资金使用效益。</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（二）存在的问题及原因分析</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本次年初设置指标时，成本指标设置不合理，实际完成值大于期初目标值，导致此项得分为0分。导致年末评价时出现偏差。出现这种偏差的原因主要因为年初设置绩效目标值时对项目实施具体内容的考量不全面，导致最后项目实施结果和年初预算产生偏差。</w:t>
      </w:r>
    </w:p>
    <w:p w14:paraId="5829A1C9">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七</w:t>
      </w:r>
      <w:r>
        <w:rPr>
          <w:rStyle w:val="18"/>
          <w:rFonts w:hint="eastAsia" w:ascii="黑体" w:hAnsi="黑体" w:eastAsia="黑体"/>
          <w:b w:val="0"/>
          <w:color w:val="auto"/>
          <w:spacing w:val="-4"/>
          <w:sz w:val="32"/>
          <w:szCs w:val="32"/>
        </w:rPr>
        <w:t>、有关建议</w:t>
      </w:r>
    </w:p>
    <w:p w14:paraId="30332A62">
      <w:pPr>
        <w:spacing w:line="540" w:lineRule="exact"/>
        <w:ind w:firstLine="567"/>
        <w:rPr>
          <w:rStyle w:val="18"/>
          <w:rFonts w:ascii="楷体" w:hAnsi="楷体" w:eastAsia="楷体"/>
          <w:color w:val="auto"/>
          <w:spacing w:val="-4"/>
          <w:sz w:val="32"/>
          <w:szCs w:val="32"/>
        </w:rPr>
      </w:pPr>
      <w:r>
        <w:rPr>
          <w:rStyle w:val="18"/>
          <w:rFonts w:hint="eastAsia" w:ascii="楷体" w:hAnsi="楷体" w:eastAsia="楷体"/>
          <w:b w:val="0"/>
          <w:bCs w:val="0"/>
          <w:color w:val="auto"/>
          <w:spacing w:val="-4"/>
          <w:sz w:val="32"/>
          <w:szCs w:val="32"/>
        </w:rPr>
        <w:t xml:space="preserve">高度重视，加强领导，精心组织。项目绩效领导小组对绩效评价工作进行指导、监督、检查，确保项目绩效评价反映项目完成真实情况。严格执行项目绩效评价工作要求，切实提高项目绩效报告的客观性和公正性。 对期初目标设置更加全面分析考量，以便年底可以更好完成任务。     </w:t>
      </w:r>
    </w:p>
    <w:p w14:paraId="4BFD8951">
      <w:pPr>
        <w:spacing w:line="540" w:lineRule="exact"/>
        <w:ind w:firstLine="640"/>
        <w:rPr>
          <w:rStyle w:val="18"/>
          <w:rFonts w:ascii="黑体" w:hAnsi="黑体" w:eastAsia="黑体"/>
          <w:b w:val="0"/>
          <w:color w:val="auto"/>
          <w:spacing w:val="-4"/>
          <w:sz w:val="32"/>
          <w:szCs w:val="32"/>
        </w:rPr>
      </w:pPr>
      <w:r>
        <w:rPr>
          <w:rStyle w:val="18"/>
          <w:rFonts w:hint="eastAsia" w:ascii="黑体" w:hAnsi="黑体" w:eastAsia="黑体"/>
          <w:b w:val="0"/>
          <w:color w:val="auto"/>
          <w:spacing w:val="-4"/>
          <w:sz w:val="32"/>
          <w:szCs w:val="32"/>
          <w:lang w:val="en-US" w:eastAsia="zh-CN"/>
        </w:rPr>
        <w:t>八</w:t>
      </w:r>
      <w:r>
        <w:rPr>
          <w:rStyle w:val="18"/>
          <w:rFonts w:hint="eastAsia" w:ascii="黑体" w:hAnsi="黑体" w:eastAsia="黑体"/>
          <w:b w:val="0"/>
          <w:color w:val="auto"/>
          <w:spacing w:val="-4"/>
          <w:sz w:val="32"/>
          <w:szCs w:val="32"/>
        </w:rPr>
        <w:t>、其他需要说明的问题</w:t>
      </w:r>
    </w:p>
    <w:p w14:paraId="5C34094F">
      <w:pPr>
        <w:spacing w:line="540" w:lineRule="exact"/>
        <w:ind w:firstLine="567"/>
        <w:rPr>
          <w:rStyle w:val="18"/>
          <w:rFonts w:ascii="楷体" w:hAnsi="楷体" w:eastAsia="楷体"/>
          <w:b w:val="0"/>
          <w:bCs w:val="0"/>
          <w:color w:val="auto"/>
          <w:spacing w:val="-4"/>
          <w:sz w:val="32"/>
          <w:szCs w:val="32"/>
        </w:rPr>
      </w:pPr>
      <w:r>
        <w:rPr>
          <w:rStyle w:val="18"/>
          <w:rFonts w:hint="eastAsia" w:ascii="楷体" w:hAnsi="楷体" w:eastAsia="楷体"/>
          <w:b w:val="0"/>
          <w:bCs w:val="0"/>
          <w:color w:val="auto"/>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color w:val="auto"/>
          <w:spacing w:val="-4"/>
          <w:sz w:val="32"/>
          <w:szCs w:val="32"/>
        </w:rPr>
        <w:cr/>
      </w:r>
      <w:r>
        <w:rPr>
          <w:rStyle w:val="18"/>
          <w:rFonts w:hint="eastAsia" w:ascii="楷体" w:hAnsi="楷体" w:eastAsia="楷体"/>
          <w:b w:val="0"/>
          <w:bCs w:val="0"/>
          <w:color w:val="auto"/>
          <w:spacing w:val="-4"/>
          <w:sz w:val="32"/>
          <w:szCs w:val="32"/>
        </w:rPr>
        <w:br w:type="textWrapping"/>
      </w:r>
      <w:r>
        <w:rPr>
          <w:rStyle w:val="18"/>
          <w:rFonts w:hint="eastAsia" w:ascii="楷体" w:hAnsi="楷体" w:eastAsia="楷体"/>
          <w:b w:val="0"/>
          <w:bCs w:val="0"/>
          <w:color w:val="auto"/>
          <w:spacing w:val="-4"/>
          <w:sz w:val="32"/>
          <w:szCs w:val="32"/>
        </w:rPr>
        <w:t>（四）我单位对上述项目支出绩效评价报告内反映内容的真实性、完整性负责，接受上级部门及社会公众监督。</w:t>
      </w:r>
    </w:p>
    <w:p w14:paraId="33DA9292">
      <w:pPr>
        <w:spacing w:line="540" w:lineRule="exact"/>
        <w:ind w:firstLine="567"/>
        <w:rPr>
          <w:rStyle w:val="18"/>
          <w:rFonts w:ascii="仿宋" w:hAnsi="仿宋" w:eastAsia="仿宋"/>
          <w:b w:val="0"/>
          <w:color w:val="auto"/>
          <w:spacing w:val="-4"/>
          <w:sz w:val="32"/>
          <w:szCs w:val="32"/>
        </w:rPr>
      </w:pPr>
    </w:p>
    <w:p w14:paraId="676E67CA">
      <w:pPr>
        <w:spacing w:line="540" w:lineRule="exact"/>
        <w:ind w:firstLine="567"/>
        <w:rPr>
          <w:rStyle w:val="18"/>
          <w:rFonts w:ascii="仿宋" w:hAnsi="仿宋" w:eastAsia="仿宋"/>
          <w:b w:val="0"/>
          <w:color w:val="auto"/>
          <w:spacing w:val="-4"/>
          <w:sz w:val="32"/>
          <w:szCs w:val="32"/>
        </w:rPr>
      </w:pPr>
    </w:p>
    <w:p w14:paraId="7C992D56">
      <w:pPr>
        <w:spacing w:line="540" w:lineRule="exact"/>
        <w:ind w:firstLine="567"/>
        <w:rPr>
          <w:rStyle w:val="18"/>
          <w:rFonts w:ascii="仿宋" w:hAnsi="仿宋" w:eastAsia="仿宋"/>
          <w:b w:val="0"/>
          <w:color w:val="auto"/>
          <w:spacing w:val="-4"/>
          <w:sz w:val="32"/>
          <w:szCs w:val="32"/>
        </w:rPr>
      </w:pPr>
    </w:p>
    <w:p w14:paraId="4AE3D273">
      <w:pPr>
        <w:spacing w:line="540" w:lineRule="exact"/>
        <w:ind w:firstLine="567"/>
        <w:rPr>
          <w:rStyle w:val="18"/>
          <w:rFonts w:ascii="仿宋" w:hAnsi="仿宋" w:eastAsia="仿宋"/>
          <w:b w:val="0"/>
          <w:color w:val="auto"/>
          <w:spacing w:val="-4"/>
          <w:sz w:val="32"/>
          <w:szCs w:val="32"/>
        </w:rPr>
      </w:pPr>
    </w:p>
    <w:p w14:paraId="1BF039EE">
      <w:pPr>
        <w:spacing w:line="540" w:lineRule="exact"/>
        <w:ind w:firstLine="567"/>
        <w:rPr>
          <w:rStyle w:val="18"/>
          <w:rFonts w:ascii="仿宋" w:hAnsi="仿宋" w:eastAsia="仿宋"/>
          <w:b w:val="0"/>
          <w:color w:val="auto"/>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933719-273E-4C5C-A60B-E2FFBC44E97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1BC52EC-11CA-4168-81FF-B1F8338FB99D}"/>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432E4748-818A-471C-A5D0-9293E19CCCF7}"/>
  </w:font>
  <w:font w:name="华文中宋">
    <w:panose1 w:val="02010600040101010101"/>
    <w:charset w:val="86"/>
    <w:family w:val="auto"/>
    <w:pitch w:val="default"/>
    <w:sig w:usb0="00000287" w:usb1="080F0000" w:usb2="00000000" w:usb3="00000000" w:csb0="0004009F" w:csb1="DFD70000"/>
    <w:embedRegular r:id="rId4" w:fontKey="{2AE146A0-1132-4AA2-BEF3-64241B742BB2}"/>
  </w:font>
  <w:font w:name="方正小标宋_GBK">
    <w:panose1 w:val="02000000000000000000"/>
    <w:charset w:val="86"/>
    <w:family w:val="script"/>
    <w:pitch w:val="default"/>
    <w:sig w:usb0="A00002BF" w:usb1="38CF7CFA" w:usb2="00082016" w:usb3="00000000" w:csb0="00040001" w:csb1="00000000"/>
    <w:embedRegular r:id="rId5" w:fontKey="{FCA808B7-2487-4B8B-ACE1-2F31650D12C4}"/>
  </w:font>
  <w:font w:name="仿宋_GB2312">
    <w:panose1 w:val="02010609030101010101"/>
    <w:charset w:val="86"/>
    <w:family w:val="modern"/>
    <w:pitch w:val="default"/>
    <w:sig w:usb0="00000001" w:usb1="080E0000" w:usb2="00000000" w:usb3="00000000" w:csb0="00040000" w:csb1="00000000"/>
    <w:embedRegular r:id="rId6" w:fontKey="{25B0DC81-5817-4FCD-8C76-24758E7CADCC}"/>
  </w:font>
  <w:font w:name="楷体">
    <w:panose1 w:val="02010609060101010101"/>
    <w:charset w:val="86"/>
    <w:family w:val="modern"/>
    <w:pitch w:val="default"/>
    <w:sig w:usb0="800002BF" w:usb1="38CF7CFA" w:usb2="00000016" w:usb3="00000000" w:csb0="00040001" w:csb1="00000000"/>
    <w:embedRegular r:id="rId7" w:fontKey="{0C2A6A79-54BF-436E-928F-08FFFD78BF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2F77756E">
        <w:pPr>
          <w:pStyle w:val="12"/>
          <w:jc w:val="center"/>
        </w:pPr>
        <w:r>
          <w:fldChar w:fldCharType="begin"/>
        </w:r>
        <w:r>
          <w:instrText xml:space="preserve">PAGE   \* MERGEFORMAT</w:instrText>
        </w:r>
        <w:r>
          <w:fldChar w:fldCharType="separate"/>
        </w:r>
        <w:r>
          <w:rPr>
            <w:lang w:val="zh-CN"/>
          </w:rPr>
          <w:t>2</w:t>
        </w:r>
        <w:r>
          <w:fldChar w:fldCharType="end"/>
        </w:r>
      </w:p>
    </w:sdtContent>
  </w:sdt>
  <w:p w14:paraId="31A79059">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wYmJhZjc0NGViYWI2MzA4ODc2NzVjMTUwODc4MTA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856517C"/>
    <w:rsid w:val="0AF05D7D"/>
    <w:rsid w:val="0B7821B7"/>
    <w:rsid w:val="0BFB189F"/>
    <w:rsid w:val="11BD75F7"/>
    <w:rsid w:val="13BE561A"/>
    <w:rsid w:val="15392994"/>
    <w:rsid w:val="18FE139B"/>
    <w:rsid w:val="1DF27371"/>
    <w:rsid w:val="3029612C"/>
    <w:rsid w:val="32A221C5"/>
    <w:rsid w:val="33F20F2A"/>
    <w:rsid w:val="34C44675"/>
    <w:rsid w:val="3B5B5607"/>
    <w:rsid w:val="3CE21B3C"/>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93</Words>
  <Characters>101</Characters>
  <Lines>4</Lines>
  <Paragraphs>1</Paragraphs>
  <TotalTime>2</TotalTime>
  <ScaleCrop>false</ScaleCrop>
  <LinksUpToDate>false</LinksUpToDate>
  <CharactersWithSpaces>113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2026-09-21T05:28:44Z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