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1A7ED">
      <w:pPr>
        <w:spacing w:line="540" w:lineRule="exact"/>
        <w:jc w:val="left"/>
        <w:rPr>
          <w:rFonts w:ascii="仿宋" w:hAnsi="仿宋" w:eastAsia="仿宋" w:cs="宋体"/>
          <w:color w:val="auto"/>
          <w:kern w:val="0"/>
          <w:sz w:val="32"/>
          <w:szCs w:val="32"/>
        </w:rPr>
      </w:pPr>
      <w:r>
        <w:rPr>
          <w:rFonts w:hint="eastAsia" w:ascii="仿宋" w:hAnsi="仿宋" w:eastAsia="仿宋" w:cs="宋体"/>
          <w:color w:val="auto"/>
          <w:kern w:val="0"/>
          <w:sz w:val="32"/>
          <w:szCs w:val="32"/>
        </w:rPr>
        <w:t>附件2：</w:t>
      </w:r>
      <w:bookmarkStart w:id="0" w:name="_GoBack"/>
      <w:bookmarkEnd w:id="0"/>
    </w:p>
    <w:p w14:paraId="36535D06">
      <w:pPr>
        <w:spacing w:line="540" w:lineRule="exact"/>
        <w:jc w:val="center"/>
        <w:rPr>
          <w:rFonts w:ascii="华文中宋" w:hAnsi="华文中宋" w:eastAsia="华文中宋" w:cs="宋体"/>
          <w:b/>
          <w:color w:val="auto"/>
          <w:kern w:val="0"/>
          <w:sz w:val="52"/>
          <w:szCs w:val="52"/>
        </w:rPr>
      </w:pPr>
    </w:p>
    <w:p w14:paraId="77A61FE4">
      <w:pPr>
        <w:spacing w:line="540" w:lineRule="exact"/>
        <w:jc w:val="center"/>
        <w:rPr>
          <w:rFonts w:ascii="华文中宋" w:hAnsi="华文中宋" w:eastAsia="华文中宋" w:cs="宋体"/>
          <w:b/>
          <w:color w:val="auto"/>
          <w:kern w:val="0"/>
          <w:sz w:val="52"/>
          <w:szCs w:val="52"/>
        </w:rPr>
      </w:pPr>
    </w:p>
    <w:p w14:paraId="5B1A83B9">
      <w:pPr>
        <w:spacing w:line="540" w:lineRule="exact"/>
        <w:jc w:val="center"/>
        <w:rPr>
          <w:rFonts w:ascii="华文中宋" w:hAnsi="华文中宋" w:eastAsia="华文中宋" w:cs="宋体"/>
          <w:b/>
          <w:color w:val="auto"/>
          <w:kern w:val="0"/>
          <w:sz w:val="52"/>
          <w:szCs w:val="52"/>
        </w:rPr>
      </w:pPr>
    </w:p>
    <w:p w14:paraId="454A65E4">
      <w:pPr>
        <w:spacing w:line="540" w:lineRule="exact"/>
        <w:jc w:val="center"/>
        <w:rPr>
          <w:rFonts w:ascii="华文中宋" w:hAnsi="华文中宋" w:eastAsia="华文中宋" w:cs="宋体"/>
          <w:b/>
          <w:color w:val="auto"/>
          <w:kern w:val="0"/>
          <w:sz w:val="52"/>
          <w:szCs w:val="52"/>
        </w:rPr>
      </w:pPr>
    </w:p>
    <w:p w14:paraId="5C32A1FF">
      <w:pPr>
        <w:spacing w:line="540" w:lineRule="exact"/>
        <w:jc w:val="center"/>
        <w:rPr>
          <w:rFonts w:ascii="华文中宋" w:hAnsi="华文中宋" w:eastAsia="华文中宋" w:cs="宋体"/>
          <w:b/>
          <w:color w:val="auto"/>
          <w:kern w:val="0"/>
          <w:sz w:val="52"/>
          <w:szCs w:val="52"/>
        </w:rPr>
      </w:pPr>
    </w:p>
    <w:p w14:paraId="2D7D672E">
      <w:pPr>
        <w:spacing w:line="540" w:lineRule="exact"/>
        <w:jc w:val="center"/>
        <w:rPr>
          <w:rFonts w:ascii="华文中宋" w:hAnsi="华文中宋" w:eastAsia="华文中宋" w:cs="宋体"/>
          <w:b/>
          <w:color w:val="auto"/>
          <w:kern w:val="0"/>
          <w:sz w:val="52"/>
          <w:szCs w:val="52"/>
        </w:rPr>
      </w:pPr>
    </w:p>
    <w:p w14:paraId="3951CCD6">
      <w:pPr>
        <w:spacing w:line="540" w:lineRule="exact"/>
        <w:jc w:val="center"/>
        <w:rPr>
          <w:rFonts w:ascii="方正小标宋_GBK" w:hAnsi="华文中宋" w:eastAsia="方正小标宋_GBK" w:cs="宋体"/>
          <w:b/>
          <w:color w:val="auto"/>
          <w:kern w:val="0"/>
          <w:sz w:val="48"/>
          <w:szCs w:val="48"/>
        </w:rPr>
      </w:pPr>
      <w:r>
        <w:rPr>
          <w:rFonts w:hint="eastAsia" w:ascii="方正小标宋_GBK" w:hAnsi="华文中宋" w:eastAsia="方正小标宋_GBK" w:cs="宋体"/>
          <w:b/>
          <w:color w:val="auto"/>
          <w:kern w:val="0"/>
          <w:sz w:val="48"/>
          <w:szCs w:val="48"/>
        </w:rPr>
        <w:t>项目支出绩效自评报告</w:t>
      </w:r>
    </w:p>
    <w:p w14:paraId="467BBC60">
      <w:pPr>
        <w:spacing w:line="540" w:lineRule="exact"/>
        <w:jc w:val="center"/>
        <w:rPr>
          <w:rFonts w:ascii="华文中宋" w:hAnsi="华文中宋" w:eastAsia="华文中宋" w:cs="宋体"/>
          <w:b/>
          <w:color w:val="auto"/>
          <w:kern w:val="0"/>
          <w:sz w:val="52"/>
          <w:szCs w:val="52"/>
        </w:rPr>
      </w:pPr>
    </w:p>
    <w:p w14:paraId="1AEBD7F3">
      <w:pPr>
        <w:spacing w:line="540" w:lineRule="exact"/>
        <w:jc w:val="center"/>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r>
        <w:rPr>
          <w:rStyle w:val="18"/>
          <w:rFonts w:hint="eastAsia" w:ascii="楷体" w:hAnsi="楷体" w:eastAsia="楷体"/>
          <w:color w:val="auto"/>
          <w:spacing w:val="-4"/>
          <w:sz w:val="32"/>
          <w:szCs w:val="32"/>
        </w:rPr>
        <w:t>2023</w:t>
      </w:r>
      <w:r>
        <w:rPr>
          <w:rFonts w:hint="eastAsia" w:hAnsi="宋体" w:eastAsia="仿宋_GB2312" w:cs="宋体"/>
          <w:color w:val="auto"/>
          <w:kern w:val="0"/>
          <w:sz w:val="36"/>
          <w:szCs w:val="36"/>
        </w:rPr>
        <w:t xml:space="preserve">  年度）</w:t>
      </w:r>
    </w:p>
    <w:p w14:paraId="50DD2D16">
      <w:pPr>
        <w:spacing w:line="540" w:lineRule="exact"/>
        <w:jc w:val="center"/>
        <w:rPr>
          <w:rFonts w:hAnsi="宋体" w:eastAsia="仿宋_GB2312" w:cs="宋体"/>
          <w:color w:val="auto"/>
          <w:kern w:val="0"/>
          <w:sz w:val="30"/>
          <w:szCs w:val="30"/>
        </w:rPr>
      </w:pPr>
    </w:p>
    <w:p w14:paraId="493FEB74">
      <w:pPr>
        <w:spacing w:line="540" w:lineRule="exact"/>
        <w:jc w:val="center"/>
        <w:rPr>
          <w:rFonts w:hAnsi="宋体" w:eastAsia="仿宋_GB2312" w:cs="宋体"/>
          <w:color w:val="auto"/>
          <w:kern w:val="0"/>
          <w:sz w:val="30"/>
          <w:szCs w:val="30"/>
        </w:rPr>
      </w:pPr>
    </w:p>
    <w:p w14:paraId="632CD06B">
      <w:pPr>
        <w:spacing w:line="540" w:lineRule="exact"/>
        <w:jc w:val="center"/>
        <w:rPr>
          <w:rFonts w:hAnsi="宋体" w:eastAsia="仿宋_GB2312" w:cs="宋体"/>
          <w:color w:val="auto"/>
          <w:kern w:val="0"/>
          <w:sz w:val="30"/>
          <w:szCs w:val="30"/>
        </w:rPr>
      </w:pPr>
    </w:p>
    <w:p w14:paraId="01DB1F99">
      <w:pPr>
        <w:spacing w:line="540" w:lineRule="exact"/>
        <w:jc w:val="center"/>
        <w:rPr>
          <w:rFonts w:hAnsi="宋体" w:eastAsia="仿宋_GB2312" w:cs="宋体"/>
          <w:color w:val="auto"/>
          <w:kern w:val="0"/>
          <w:sz w:val="30"/>
          <w:szCs w:val="30"/>
        </w:rPr>
      </w:pPr>
    </w:p>
    <w:p w14:paraId="57D44568">
      <w:pPr>
        <w:spacing w:line="540" w:lineRule="exact"/>
        <w:jc w:val="center"/>
        <w:rPr>
          <w:rFonts w:hAnsi="宋体" w:eastAsia="仿宋_GB2312" w:cs="宋体"/>
          <w:color w:val="auto"/>
          <w:kern w:val="0"/>
          <w:sz w:val="30"/>
          <w:szCs w:val="30"/>
        </w:rPr>
      </w:pPr>
    </w:p>
    <w:p w14:paraId="372AE1B7">
      <w:pPr>
        <w:spacing w:line="540" w:lineRule="exact"/>
        <w:jc w:val="center"/>
        <w:rPr>
          <w:rFonts w:hAnsi="宋体" w:eastAsia="仿宋_GB2312" w:cs="宋体"/>
          <w:color w:val="auto"/>
          <w:kern w:val="0"/>
          <w:sz w:val="30"/>
          <w:szCs w:val="30"/>
        </w:rPr>
      </w:pPr>
    </w:p>
    <w:p w14:paraId="3F5497E7">
      <w:pPr>
        <w:spacing w:line="540" w:lineRule="exact"/>
        <w:rPr>
          <w:rFonts w:hAnsi="宋体" w:eastAsia="仿宋_GB2312" w:cs="宋体"/>
          <w:color w:val="auto"/>
          <w:kern w:val="0"/>
          <w:sz w:val="30"/>
          <w:szCs w:val="30"/>
        </w:rPr>
      </w:pPr>
    </w:p>
    <w:p w14:paraId="5CE2883B">
      <w:pPr>
        <w:spacing w:line="700" w:lineRule="exact"/>
        <w:jc w:val="left"/>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p>
    <w:p w14:paraId="088B3FB5">
      <w:pPr>
        <w:spacing w:line="700" w:lineRule="exact"/>
        <w:ind w:firstLine="900" w:firstLineChars="250"/>
        <w:jc w:val="left"/>
        <w:rPr>
          <w:rFonts w:hAnsi="宋体" w:eastAsia="仿宋_GB2312" w:cs="宋体"/>
          <w:color w:val="auto"/>
          <w:kern w:val="0"/>
          <w:sz w:val="36"/>
          <w:szCs w:val="36"/>
        </w:rPr>
      </w:pPr>
      <w:r>
        <w:rPr>
          <w:rFonts w:hint="eastAsia" w:hAnsi="宋体" w:eastAsia="仿宋_GB2312" w:cs="宋体"/>
          <w:color w:val="auto"/>
          <w:kern w:val="0"/>
          <w:sz w:val="36"/>
          <w:szCs w:val="36"/>
        </w:rPr>
        <w:t>项目名称：</w:t>
      </w:r>
      <w:r>
        <w:rPr>
          <w:rStyle w:val="18"/>
          <w:rFonts w:hint="eastAsia" w:ascii="楷体" w:hAnsi="楷体" w:eastAsia="楷体"/>
          <w:color w:val="auto"/>
          <w:spacing w:val="-4"/>
          <w:sz w:val="32"/>
          <w:szCs w:val="32"/>
        </w:rPr>
        <w:t>机关运行补助</w:t>
      </w:r>
    </w:p>
    <w:p w14:paraId="329B4FB0">
      <w:pPr>
        <w:spacing w:line="540" w:lineRule="exact"/>
        <w:ind w:firstLine="567"/>
        <w:rPr>
          <w:rFonts w:ascii="楷体" w:hAnsi="楷体" w:eastAsia="楷体"/>
          <w:b/>
          <w:bCs/>
          <w:color w:val="auto"/>
          <w:spacing w:val="-4"/>
          <w:sz w:val="32"/>
          <w:szCs w:val="32"/>
        </w:rPr>
      </w:pPr>
      <w:r>
        <w:rPr>
          <w:rFonts w:hint="eastAsia" w:hAnsi="宋体" w:eastAsia="仿宋_GB2312" w:cs="宋体"/>
          <w:color w:val="auto"/>
          <w:kern w:val="0"/>
          <w:sz w:val="36"/>
          <w:szCs w:val="36"/>
        </w:rPr>
        <w:t xml:space="preserve">  实施单位（公章）：</w:t>
      </w:r>
      <w:r>
        <w:rPr>
          <w:rStyle w:val="18"/>
          <w:rFonts w:hint="eastAsia" w:ascii="楷体" w:hAnsi="楷体" w:eastAsia="楷体"/>
          <w:color w:val="auto"/>
          <w:spacing w:val="-4"/>
          <w:sz w:val="28"/>
          <w:szCs w:val="28"/>
        </w:rPr>
        <w:t>呼图壁县人民检察院</w:t>
      </w:r>
    </w:p>
    <w:p w14:paraId="4D715160">
      <w:pPr>
        <w:spacing w:line="540" w:lineRule="exact"/>
        <w:ind w:firstLine="900" w:firstLineChars="250"/>
        <w:rPr>
          <w:rFonts w:ascii="楷体" w:hAnsi="楷体" w:eastAsia="楷体"/>
          <w:b/>
          <w:bCs/>
          <w:color w:val="auto"/>
          <w:spacing w:val="-4"/>
          <w:sz w:val="28"/>
          <w:szCs w:val="28"/>
        </w:rPr>
      </w:pPr>
      <w:r>
        <w:rPr>
          <w:rFonts w:hint="eastAsia" w:hAnsi="宋体" w:eastAsia="仿宋_GB2312" w:cs="宋体"/>
          <w:color w:val="auto"/>
          <w:kern w:val="0"/>
          <w:sz w:val="36"/>
          <w:szCs w:val="36"/>
        </w:rPr>
        <w:t>主管部门（公章）：</w:t>
      </w:r>
      <w:r>
        <w:rPr>
          <w:rStyle w:val="18"/>
          <w:rFonts w:hint="eastAsia" w:ascii="楷体" w:hAnsi="楷体" w:eastAsia="楷体"/>
          <w:color w:val="auto"/>
          <w:spacing w:val="-4"/>
          <w:sz w:val="28"/>
          <w:szCs w:val="28"/>
        </w:rPr>
        <w:t>呼图壁县人民检察院</w:t>
      </w:r>
    </w:p>
    <w:p w14:paraId="4F6C29AF">
      <w:pPr>
        <w:spacing w:line="540" w:lineRule="exact"/>
        <w:ind w:firstLine="900" w:firstLineChars="250"/>
        <w:rPr>
          <w:rFonts w:ascii="楷体" w:hAnsi="楷体" w:eastAsia="楷体"/>
          <w:b/>
          <w:bCs/>
          <w:color w:val="auto"/>
          <w:spacing w:val="-4"/>
          <w:sz w:val="32"/>
          <w:szCs w:val="32"/>
        </w:rPr>
      </w:pPr>
      <w:r>
        <w:rPr>
          <w:rFonts w:hint="eastAsia" w:hAnsi="宋体" w:eastAsia="仿宋_GB2312" w:cs="宋体"/>
          <w:color w:val="auto"/>
          <w:kern w:val="0"/>
          <w:sz w:val="36"/>
          <w:szCs w:val="36"/>
        </w:rPr>
        <w:t>项目负责人（签章）：</w:t>
      </w:r>
      <w:r>
        <w:rPr>
          <w:rStyle w:val="18"/>
          <w:rFonts w:hint="eastAsia" w:ascii="楷体" w:hAnsi="楷体" w:eastAsia="楷体"/>
          <w:color w:val="auto"/>
          <w:spacing w:val="-4"/>
          <w:sz w:val="32"/>
          <w:szCs w:val="32"/>
        </w:rPr>
        <w:t>董靖</w:t>
      </w:r>
    </w:p>
    <w:p w14:paraId="61AC8F02">
      <w:pPr>
        <w:spacing w:line="540" w:lineRule="exact"/>
        <w:ind w:left="273" w:firstLine="567"/>
        <w:rPr>
          <w:rStyle w:val="18"/>
          <w:rFonts w:ascii="楷体" w:hAnsi="楷体" w:eastAsia="楷体"/>
          <w:color w:val="auto"/>
          <w:spacing w:val="-4"/>
          <w:sz w:val="32"/>
          <w:szCs w:val="32"/>
        </w:rPr>
      </w:pPr>
      <w:r>
        <w:rPr>
          <w:rFonts w:hint="eastAsia" w:hAnsi="宋体" w:eastAsia="仿宋_GB2312" w:cs="宋体"/>
          <w:color w:val="auto"/>
          <w:kern w:val="0"/>
          <w:sz w:val="36"/>
          <w:szCs w:val="36"/>
        </w:rPr>
        <w:t>填报时间：</w:t>
      </w:r>
      <w:r>
        <w:rPr>
          <w:rStyle w:val="18"/>
          <w:rFonts w:hint="eastAsia" w:ascii="楷体" w:hAnsi="楷体" w:eastAsia="楷体"/>
          <w:color w:val="auto"/>
          <w:spacing w:val="-4"/>
          <w:sz w:val="32"/>
          <w:szCs w:val="32"/>
        </w:rPr>
        <w:t>2024年03月29日</w:t>
      </w:r>
    </w:p>
    <w:p w14:paraId="0D58A5AF">
      <w:pPr>
        <w:spacing w:line="700" w:lineRule="exact"/>
        <w:ind w:firstLine="708" w:firstLineChars="236"/>
        <w:jc w:val="left"/>
        <w:rPr>
          <w:rFonts w:hAnsi="宋体" w:eastAsia="仿宋_GB2312" w:cs="宋体"/>
          <w:color w:val="auto"/>
          <w:kern w:val="0"/>
          <w:sz w:val="30"/>
          <w:szCs w:val="30"/>
        </w:rPr>
      </w:pPr>
    </w:p>
    <w:p w14:paraId="0618B04E">
      <w:pPr>
        <w:spacing w:line="540" w:lineRule="exact"/>
        <w:rPr>
          <w:rStyle w:val="18"/>
          <w:rFonts w:ascii="黑体" w:hAnsi="黑体" w:eastAsia="黑体"/>
          <w:b w:val="0"/>
          <w:color w:val="auto"/>
          <w:spacing w:val="-4"/>
          <w:sz w:val="32"/>
          <w:szCs w:val="32"/>
        </w:rPr>
      </w:pPr>
    </w:p>
    <w:p w14:paraId="10CD337B">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一、基本情况</w:t>
      </w:r>
    </w:p>
    <w:p w14:paraId="1A110970">
      <w:pPr>
        <w:spacing w:line="540" w:lineRule="exact"/>
        <w:ind w:firstLine="567"/>
        <w:rPr>
          <w:rStyle w:val="18"/>
          <w:rFonts w:hint="default" w:ascii="楷体" w:hAnsi="楷体" w:eastAsia="楷体"/>
          <w:color w:val="auto"/>
          <w:spacing w:val="-4"/>
          <w:sz w:val="32"/>
          <w:szCs w:val="32"/>
          <w:lang w:val="en-US" w:eastAsia="zh-CN"/>
        </w:rPr>
      </w:pPr>
      <w:r>
        <w:rPr>
          <w:rStyle w:val="18"/>
          <w:rFonts w:hint="eastAsia" w:ascii="楷体" w:hAnsi="楷体" w:eastAsia="楷体"/>
          <w:color w:val="auto"/>
          <w:spacing w:val="-4"/>
          <w:sz w:val="32"/>
          <w:szCs w:val="32"/>
        </w:rPr>
        <w:t>（一）项目概况</w:t>
      </w:r>
      <w:r>
        <w:rPr>
          <w:rStyle w:val="18"/>
          <w:rFonts w:hint="eastAsia" w:ascii="楷体" w:hAnsi="楷体" w:eastAsia="楷体"/>
          <w:color w:val="auto"/>
          <w:spacing w:val="-4"/>
          <w:sz w:val="32"/>
          <w:szCs w:val="32"/>
          <w:lang w:eastAsia="zh-CN"/>
        </w:rPr>
        <w:t>。</w:t>
      </w:r>
    </w:p>
    <w:p w14:paraId="0B7388DD">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（一）项目概况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1.项目背景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昌州党财【2023】001号文件要求，下达2023年机关运行补助项目资金，预算安排资金总额89.12万元，其中财政资金0万元、其他资金89.12万元，89.12万元主要用于弥补办公经费不足，保障办案人员的办案支出、业务书籍日常办公用品和耗材、普法宣传、日常维修、12309项目改造、院落维修改造等经费支出。该项目的实施弥补公用经费不足，保障呼图壁县人民检察院办案经费支出和办案业务活动的正常开展，发挥检察院监督、逮捕、公益诉讼职能，改善办案条件，提升办案能力和工作效率，促进我县社会大局和谐稳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2.主要内容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（1）项目名称：机关运行补助项目（以下简称“该项目”或“项目”）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主要内容：呼图壁县人民检察院机关运行补助项目，该项目的实施该项目的实施弥补公用经费不足，保障呼图壁县人民检察院办案经费支出和办案业务活动的正常开展，发挥检察院监督、逮捕、公益诉讼职能，改善办案条件，提升办案能力和工作效率，促进我县社会大局和谐稳定。89.12万元业务补助费用于保障办案人员数量42人，修缮工程数量等于1个，维修支付资金11.19万元，开展普法教育培训项目2个，办公、设备购置支付资金26.11万元，政府采购率预期达到95.00%以上，修缮验收合格率预期达到95.00%以上。该项目的实施能保障单位机关正常运行，有效提升干警的业务能力，持续提高为人民群众提供有效的公共法律服务水平，使干警人员满意度达到95.00%以上。本项目于2023年1月开始实施，</w:t>
      </w:r>
      <w:r>
        <w:rPr>
          <w:rStyle w:val="18"/>
          <w:rFonts w:hint="eastAsia" w:ascii="楷体" w:hAnsi="楷体" w:eastAsia="楷体"/>
          <w:b w:val="0"/>
          <w:bCs w:val="0"/>
          <w:color w:val="auto"/>
          <w:spacing w:val="-4"/>
          <w:sz w:val="32"/>
          <w:szCs w:val="32"/>
          <w:lang w:eastAsia="zh-CN"/>
        </w:rPr>
        <w:t>截至2023年</w:t>
      </w:r>
      <w:r>
        <w:rPr>
          <w:rStyle w:val="18"/>
          <w:rFonts w:hint="eastAsia" w:ascii="楷体" w:hAnsi="楷体" w:eastAsia="楷体"/>
          <w:b w:val="0"/>
          <w:bCs w:val="0"/>
          <w:color w:val="auto"/>
          <w:spacing w:val="-4"/>
          <w:sz w:val="32"/>
          <w:szCs w:val="32"/>
        </w:rPr>
        <w:t>12月已全部完成，通过本项目的实施，保障单位机关正常运行，有效提升干警的业务能力，持续提高为人民群众提供有效的公共法律服务水平。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实施主体：呼图壁县人民检察院。</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实施时间：本项目实施周期为2023年1月1日-2023年12月31日。</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情况：截至2023年12月31日，本项目实际支付资金37.30万元，预算执行率41.35%。项目资金主要用于保障办案人员数量42人，修缮工程数量等于1个，维修支付资金11.19万元，开展普法教育培训项目2个，办公、设备购置支付资金26.11万元，政府采购率预期达到95.00%以上，修缮验收合格率预期达到95.00%以上，该项目的实施能保障单位机关正常运行，有效提升干警的业务能力，持续提高为人民群众提供有效的公共法律服务水平，使干警人员满意度达到95.00%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4.项目实施主体</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概述项目实施主体的主要职能和机构设置情况。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（1）主要职能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深入贯彻习近平新时代中国特色社会主义思想，深入贯彻党的路线方针政策和决策部署，聚焦长治久安总目标，统一全院检察人员思想和行动，坚持党对检察工作的绝对领导，坚决维护习近平总书记的核心地位，坚决维护党中央权威和集中统一领导。（二）依法向呼图壁县人民代表大会及其常务委员会提出议案。（三）贯彻落实检察工作方针、总体规划，完成检察工作任务。（四）依法开展对刑事犯罪案件的审查批准逮捕、决定逮捕、审查起诉工作。（五）负责应由呼图壁县人民检察院承办的刑事、民事、行政诉讼活动及刑事、民事、行政判决和裁定等生效法律文书执行的法律监督工作。（六）负责对呼图壁县基层人民法院已发生法律效力、确有错误的判决和裁定，依法提请昌吉州人民检察院向昌吉州中级人民法院提出抗诉。（七）负责应由呼图壁县人民检察院承办的提起公益诉讼工作。（八）负责应由呼图壁县人民检察院承办的对安置教育5机构、看守所、社区矫正机构等执法活动的法律监督工作。（九）受理向呼图壁县人民检察院的控告申诉，开展控告申诉检察工作。（十）开展检察应用和理论研究工作。（十一）负责本院队伍建设和思想政治工作。依法管理检察官及其他检察人员的工作，开展检察机关教育培训工作。（十二）开展本院检务督察工作。（十三）开展检察机关的财务装备工作，检察技术信息工作。（十四）负责其他应当由呼图壁县人民检察院承办的事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呼图壁县人民检察院单位，该单位纳入2023年部门决算编制范围的有5个科室，分别是：办公室，政治部，第一检察部，第二检察部，第三检察部。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编制人数为32人，其中：行政人员编制30人、工勤2人。实有在职人数29人，其中：行政在职29人、工勤0人。离退休人员15人，其中：行政退休人员15人。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5.资金投入和使用情况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（1）项目资金安排落实、总投入等情况分析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本项目预算安排总额为89.12万元，资金来源为援疆资金，其中：财政资金0万元，其他资金89.12万元，2023年实际收到预算资金89.12万元，预算资金到位率为100.00%。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（2）项目资金实际使用情况分析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截至2023年12月31日，本项目实际支付资金37.30万元，预算执行率41.35%（预算执行率=（实际支出资金/到位金额）*100.00%，结余资金51.82万元）。本项目资金主要用于支付维修费用11.19万元，办公、设备购置支付26.11万元。</w:t>
      </w:r>
    </w:p>
    <w:p w14:paraId="4D9F098F">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（二）项目绩效目标</w:t>
      </w:r>
    </w:p>
    <w:p w14:paraId="2D12EF59">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（二）项目绩效目标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1.总体目标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该项目的实施弥补公用经费不足，保障呼图壁县人民检察院办案经费支出和办案业务活动的正常开展，发挥检察院监督、逮捕、公益诉讼职能，改善办案条件，提升办案能力和工作效率，促进我县社会大局和谐稳定。89.12万元业务补助费用于保障办案人员数量32人，修缮工程数量等于1个，维修支付资金11.19万元，开展普法教育培训项目2个，办公、设备购置支付资金26.11万元，政府采购率预期达到95.00%以上，修缮验收合格率预期达到95.00%以上，该项目的实施能保障单位机关正常运行，有效提升干警的业务能力，持续提高为人民群众提供有效的公共法律服务水平，使干警人员满意度达到95.00%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2.阶段性目标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（1）项目产出指标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①数量指标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“保障办案人员数量”指标，预期指标值为“大于等于32人”；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““改造项目工程数量”指标，预期指标值为“大于等于1个”；</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“普法教育培训项目”指标，预期指标值为“大于等于2个”；</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②质量指标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““修缮验收合格率”指标，预期指标值为“大于等于95.00%”；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“政府采购率”指标，预期指标值为“大于等于95.00%”；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③时效指标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““机关运行补助支付及时率”指标，预期指标值为“大于等于95.00%”；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“维修费支付资金”指标，预期指标值为“小于等于17.19万元”；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“办公、设备购置支付资金”指标，预期指标值为“小于等于71.93万元”；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③生态环境成本指标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“为人民群众提供有效的公共法律服务水平”指标，预期指标值为“提升”；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“干警人员满意度”指标，预期指标值为“大于等于95.00%”。</w:t>
      </w:r>
    </w:p>
    <w:p w14:paraId="7244A38F">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二、绩效评价工作开展情况</w:t>
      </w:r>
    </w:p>
    <w:p w14:paraId="45A3C75C">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（一）绩效评价目的、对象和范围</w:t>
      </w:r>
    </w:p>
    <w:p w14:paraId="11FEBB2E">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（一）绩效评价的目的、对象和范围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1.绩效评价的目的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2.绩效评价对象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此次我单位根据《财政支出绩效评价管理暂行办法》（财预〔2020〕10号）文件要求实施评价工作，本次评价对象为机关运行补助项目，评价核心为项目资金、项目产出、项目效益。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3.绩效评价范围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4.绩效评价依据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(1)《中华人民共和国预算法》；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(2)《中共中央国务院关于全面实施预算绩效管理的意见》（中发〔2018〕34号）；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(3)《项目支出绩效评价管理办法》（财预〔2020〕10号）；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(4)《自治区财政支出绩效评价管理暂行办法》（新财预〔2018〕189号）；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(5)预算批复。</w:t>
      </w:r>
    </w:p>
    <w:p w14:paraId="578FC729">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（二）绩效评价原则、评价指标体系、评价方法、评价标准</w:t>
      </w:r>
    </w:p>
    <w:p w14:paraId="36A54E41">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（二）绩效评价原则、评价指标体系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1.绩效评价原则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（4）公开透明。绩效评价结果应依法依规公开，并自觉接受社会监督。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5个，包括：决策指标（21.00%）、过程指标（19.00%）、产出指标（20.00%）、成本指标（10.00%）、效益指标（30.00%）五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3.评价方法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color w:val="auto"/>
          <w:spacing w:val="-4"/>
          <w:sz w:val="32"/>
          <w:szCs w:val="32"/>
          <w:lang w:eastAsia="zh-CN"/>
        </w:rPr>
        <w:t>以及</w:t>
      </w:r>
      <w:r>
        <w:rPr>
          <w:rStyle w:val="18"/>
          <w:rFonts w:hint="eastAsia" w:ascii="楷体" w:hAnsi="楷体" w:eastAsia="楷体"/>
          <w:b w:val="0"/>
          <w:bCs w:val="0"/>
          <w:color w:val="auto"/>
          <w:spacing w:val="-4"/>
          <w:sz w:val="32"/>
          <w:szCs w:val="32"/>
        </w:rPr>
        <w:t>公众评判法。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4.评价标准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38D410AB">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（三）绩效评价工作过程</w:t>
      </w:r>
    </w:p>
    <w:p w14:paraId="3F7C0FBE">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（三）绩效评价工作过程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1.前期准备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董靖（评价小组组长）：主要负责项目策划和监督，全面负责项目绩效评价办稿的最终质量，对评估人员出具的最终报告质量进行复核，确保评估结果的客观性；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胡招军（评价小组组员）：主要负责资料的收集，取证、数据统计分析；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丁宣冬（评价小组组员）：主要负责主要负责项目报告的制定，指标的研判，数据分析及报告撰写。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2024年3月1日-3月22日，评价工作进入实施阶段。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经调研了解，该项目主要受益群体包括全体干警。我们根据绩效评价目标和绩效指标体系，设计满意度调查问卷进行问卷调查，其中干警受益对象共选取样本26人，共发放问卷26份，最终收回26份。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3.分析评价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2024年3月22日-3月25日，评价小组按照绩效评价的原则和规范，对取得的资料进行审查核实，对采集的数据进行分析，按照绩效评价指标评分表逐项进行打分、分析、汇总各方评价结果。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4.撰写与提交评价报告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2024年3月25日-3月28日，评价小组撰写绩效评价报告，按照新疆维吾尔自治区财政绩效管理信息系统绩效评价模块中统一格式和文本框架撰写绩效评价报告并提交审核。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5.问题整改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6.档案整理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建立和落实档案管理制度，将项目相关资料存档，包括但不限于：评价项目基本情况和相关文件、评价实施方案、项目支付资料等相关档案。</w:t>
      </w:r>
    </w:p>
    <w:p w14:paraId="4CE9533A">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三、综合评价情况及评价结论</w:t>
      </w:r>
    </w:p>
    <w:p w14:paraId="7E27F2B6">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三、综合评价情况及评价结论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（一）综合评价情况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评价，本项目较大程度达成年初设立的绩效目标，在实施过程中取得了良好的成效，具体表现在：通过项目的实施，完成了保障办案人员数量42人、改造项目工程数量1个、普法教育培训项目2个、修缮验收合格率100.00%、政府采购率100.00%的产出目标，发挥了为人民群众提供有效的公共法律服务水平效益。但在实施过程中也存在一些不足：机关运行支付及时率未达到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绩效评价通过绩效评价小组论证的评价指标体系及评分标准，采用因素分析法和比较法对本项目绩效进行客观评价，本项目共设置三级指标数量21个，实现三级指标数量19个，总体完成率为90.48%。最终评分结果：总分为95.09分，绩效评级为“优”。综合评价结论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项目决策类指标共设置6个，满分指标6个，得分率100.00%；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过程管理类指标共设置5个，满分指标4个，得分率84.68%；</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项目产出类指标共设置8个，满分指标7个，得分率93.33%；</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项目效益类指标共设置2个，满分指标2个，得分率100.00%。</w:t>
      </w:r>
    </w:p>
    <w:p w14:paraId="5F6F9206">
      <w:pPr>
        <w:spacing w:line="540" w:lineRule="exact"/>
        <w:ind w:firstLine="640"/>
        <w:rPr>
          <w:rStyle w:val="18"/>
          <w:rFonts w:ascii="黑体" w:hAnsi="黑体" w:eastAsia="黑体"/>
          <w:color w:val="auto"/>
        </w:rPr>
      </w:pPr>
      <w:r>
        <w:rPr>
          <w:rStyle w:val="18"/>
          <w:rFonts w:hint="eastAsia" w:ascii="黑体" w:hAnsi="黑体" w:eastAsia="黑体"/>
          <w:b w:val="0"/>
          <w:color w:val="auto"/>
          <w:spacing w:val="-4"/>
          <w:sz w:val="32"/>
          <w:szCs w:val="32"/>
        </w:rPr>
        <w:t>四、绩效评价指标分析</w:t>
      </w:r>
      <w:r>
        <w:rPr>
          <w:rStyle w:val="18"/>
          <w:rFonts w:hint="eastAsia" w:ascii="黑体" w:hAnsi="黑体" w:eastAsia="黑体"/>
          <w:color w:val="auto"/>
        </w:rPr>
        <w:t xml:space="preserve"> </w:t>
      </w:r>
    </w:p>
    <w:p w14:paraId="4C796C14">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（一）</w:t>
      </w:r>
      <w:r>
        <w:rPr>
          <w:rStyle w:val="18"/>
          <w:rFonts w:hint="eastAsia" w:ascii="楷体" w:hAnsi="楷体" w:eastAsia="楷体"/>
          <w:color w:val="auto"/>
          <w:spacing w:val="-4"/>
          <w:sz w:val="32"/>
          <w:szCs w:val="32"/>
        </w:rPr>
        <w:t>项目决策情况</w:t>
      </w:r>
    </w:p>
    <w:p w14:paraId="02B6DC0A">
      <w:pPr>
        <w:tabs>
          <w:tab w:val="center" w:pos="4295"/>
        </w:tabs>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（一）项目决策情况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项目决策类指标由3个二级指标和6个三级指标构成，权重分21.00分，实际得分21.00分。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1.项目立项情况分析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（1）立项依据充分性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本项目立项符合依据《中华人民共和国预算法》、《项目支出绩效评价管理办法》（财预〔2020〕10号）等要求：“全面实施预算绩效管理，建立科学且合理的项目支出绩效评价管理体系”；本项目立项符合《中共 中央国务院关于全面实施预算绩效管理的意见》（中发〔2018〕34号）中：“提高财政资源配置效率和使用效益”内容，符合行业发展规划和政策要求；本项目立项符合《呼图壁县人民检察院位配置内设机构和人员编制规定》中职责范围中的“单位办案办公环境提升要求”，属于我单位履职所需；根据《财政资金直接支付申请书》，本项目资金性质为“公共财政预算”功能分类为“2040402一般行政管理事务”经济分类为“50209维修（护）费”属于公共财政支持范围，符合中央、地方事权支出责任划分原则；经检查我单位财政应用平台指标，本项目不存在重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综上所述，本指标满分为5.00分，根据评分标准得5.00分，本项目立项依据充分。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（2）立项程序规范性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本项目为非基础建设类项目，属于单位资金安排项目，不涉及事前绩效评估、可行性研究以及风险评估，由我单位严格按照2023年年度预算批复要求实施项目。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综上所述，本指标满分为3.00分，根据评分标准得3.00分，本项目立项程序规范。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2.绩效目标情况分析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（1）绩效目标合理性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已设置年度绩效目标，具体内容为弥补公用经费不足，保障呼图壁县人民检察院办案经费支出和办案业务活动的正常开展，发挥检察院监督、逮捕、公益诉讼职能，改善办案条件，提升办案能力和工作效率，促进我县社会大局和谐稳定；本项目实际工作内容为：89.12万元业务补助费用于保障办案人员数量42人，修缮工程数量等于1个，维修支付资金11.19万元，开展普法教育培训项目2个，办公、设备购置支付资金26.11万元，政府采购率预期达到95.00%以上，修缮验收合格率预期达到95.00%以上；绩效目标与实际工作内容一致，两者具有相关性;本项目按照绩效目标完成了数量指标、质量指标、时效指标、成本指标，保障单位机关正常运行，有效提升干警的业务能力，持续提高为人民群众提供有效的公共法律服务水平，使干警人员满意度达到95.00%以上，年度绩效目标完成，预期产出效益和效果符合正常的业绩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综上所述，本指标满分为4.00分，根据评分标准得4.00分，本项目绩效目标设置合理。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（2）绩效指标明确性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检查我单位年初设置的《项目支出绩效目标表》，得出如下结论：本项目已将年度绩效目标进行细化为绩效指标体系，共设置一级指标4个，二级指标6个，三级指标10个，定量指标9个，定性指标1个，指标量化率为90.00%，量化率达90.00%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综上所述，本指标满分为3.00分，根据评分标准得3.00分，本项目所设置绩效指标明确。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3.资金投入情况分析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（1）预算编制科学性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本项目预算编制通过市场询价得出，即预算编制较科学且经过论证；</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预算申请内容为弥补公用经费不足，保障呼图壁县人民检察院办案经费支出和办案业务活动的正常开展，发挥检察院监督、逮捕、公益诉讼职能，改善办案条件，提升办案能力和工作效率，促进我县社会大局和谐稳定，项目实际内容为89.12万元业务补助费用于保障办案人员数量42人，修缮工程数量等于1个，维修支付资金11.19万元，开展普法教育培训项目2个，办公、设备购置支付资金26.11万元，政府采购率预期达到95.00%以上，修缮验收合格率预期达到95.00%以上，预算申请与《机关运行补助项目实施方案》中涉及的项目内容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申请资金89.12万元，我单位在预算申请中严格按照单位标准和数量进行核算，其中：单位标准为2，数量为3。本项目预算额度测算依据充分，严格按照标准编制，预算确定资金量与实际工作任务相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综上所述，本指标满分为4.00分，根据评分标准4.00分，本项目预算编制科学。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（2）资金分配合理性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分配资金以《关于申请机关运行补助项目资金的请示》和《机关运行补助项目实施方案》为依据进行资金分配，预算资金分配依据充分。根据《2023年预算资金批复》文件显示，本项目实际到位资金89.12万元，实际分配资金与我单位提交申请的资金额度一致，资金分配额度合理，与我单位实际需求相适应。</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综上所述，本指标满分为2.00分，根据评分标准得2.00分，本项目资金分配合理。</w:t>
      </w:r>
      <w:r>
        <w:rPr>
          <w:rStyle w:val="18"/>
          <w:rFonts w:hint="eastAsia" w:ascii="楷体" w:hAnsi="楷体" w:eastAsia="楷体"/>
          <w:b w:val="0"/>
          <w:bCs w:val="0"/>
          <w:color w:val="auto"/>
          <w:spacing w:val="-4"/>
          <w:sz w:val="32"/>
          <w:szCs w:val="32"/>
        </w:rPr>
        <w:tab/>
      </w:r>
    </w:p>
    <w:p w14:paraId="59E5AD03">
      <w:pPr>
        <w:spacing w:line="540" w:lineRule="exact"/>
        <w:ind w:firstLine="567" w:firstLineChars="181"/>
        <w:rPr>
          <w:rStyle w:val="18"/>
          <w:rFonts w:ascii="楷体" w:hAnsi="楷体" w:eastAsia="楷体"/>
          <w:color w:val="auto"/>
          <w:spacing w:val="-4"/>
          <w:sz w:val="32"/>
          <w:szCs w:val="32"/>
        </w:rPr>
      </w:pPr>
      <w:r>
        <w:rPr>
          <w:rFonts w:hint="eastAsia" w:ascii="楷体" w:hAnsi="楷体" w:eastAsia="楷体"/>
          <w:b/>
          <w:color w:val="auto"/>
          <w:spacing w:val="-4"/>
          <w:sz w:val="32"/>
          <w:szCs w:val="32"/>
        </w:rPr>
        <w:t>（二）</w:t>
      </w:r>
      <w:r>
        <w:rPr>
          <w:rStyle w:val="18"/>
          <w:rFonts w:hint="eastAsia" w:ascii="楷体" w:hAnsi="楷体" w:eastAsia="楷体"/>
          <w:color w:val="auto"/>
          <w:spacing w:val="-4"/>
          <w:sz w:val="32"/>
          <w:szCs w:val="32"/>
        </w:rPr>
        <w:t>项目过程情况</w:t>
      </w:r>
    </w:p>
    <w:p w14:paraId="06740B61">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（二）项目过程情况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项目过程管理类指标由2个二级指标和5个三级指标构成，权重分19.00分，实际得分16.09分。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1.资金管理情况分析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（1）资金到位率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资金为89.12万元，其中：本级财政安排资金0万元，其他资金89.12万元，实际到位资金89.12万元，资金到位率=（实际到位资金/预算资金）×100.00%=（89.12/89.12）*100.00%=100.00%。得分=资金到位率*分值=100%*4=4.00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（2）预算执行率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本项目实际支出资金37.30万元，预算执行率=（实际支出资金/实际到位资金）×100.00%=（37.3/89.12）*100.00%=41.85%。得分=预算执行率*分值=41.85%*5=2.09分。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综上所述，本指标满分为5.00分，根据评分标准得2.09分，本项目资金分配合理。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（3）资金使用合规性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通过检查本项目签订的合同、资金申请文件、发票等财务付款凭证，得出本项目资金支出符合国家财经法规、《政府会计制度》以及《呼图壁县人民检察院单位资金管理办法》《呼图壁县人民检察院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综上所述，本指标满分为4.00分，根据评分标准得4.00分，资金支出符合我单位财务管理制度规定。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（1）管理制度健全性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已制定《呼图壁县人民检察院资金管理办法》《呼图壁县人民检察院收支业务管理制度》《呼图壁县人民检察院政府采购业务管理制度》《呼图壁县人民检察院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综上所述，本指标满分为2.00分，根据评分标准得2.00分，项目制度建设健全。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（2）制度执行有效性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机关运行补助项目工作领导小组，由党组书记马维新任组长，负责项目的组织工作；毕云任副组长，负责项目的实施工作；组员包括：董靖、胡招军、丁宣冬、万瑶，主要负责项目监督管理、验收以及资金核拨等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综上所述，本指标满分为4.00分，根据评分标准得4.00分，本项目所建立制度执行有效。</w:t>
      </w:r>
    </w:p>
    <w:p w14:paraId="73E56BC7">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（三）</w:t>
      </w:r>
      <w:r>
        <w:rPr>
          <w:rStyle w:val="18"/>
          <w:rFonts w:hint="eastAsia" w:ascii="楷体" w:hAnsi="楷体" w:eastAsia="楷体"/>
          <w:color w:val="auto"/>
          <w:spacing w:val="-4"/>
          <w:sz w:val="32"/>
          <w:szCs w:val="32"/>
        </w:rPr>
        <w:t>项目产出情况</w:t>
      </w:r>
    </w:p>
    <w:p w14:paraId="189D20FB">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（三）项目产出情况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项目产出类指标由4个二级指标和8个三级指标构成，权重分30.00分，实际得分28.00分。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1.数量指标完成情况分析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“保障办案人员数量”指标：预期指标值为“大于等于32人”，实际完成指标值为“41人”，指标完成率为100.00%。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“改造项目工程数量”指标，预期指标值为“大于等于1个”，实际完成指标值为2个，指标完成率为100.00%。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“普法教育培训项目”指标，预期指标值为“大于等于2个”，实际完成指标值为2个，指标完成率为100.00%。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2.质量指标完成情况分析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“修缮验收合格率”指标：预期指标值为“大于等于95.00%”，实际完成指标值为“100.00%”，指标完成率为100.00%。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“政府采购率”指标：预期指标值为“大于等于95.00%”，实际完成指标值为“100.00%”，指标完成率为100.00%。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3.时效指标完成情况分析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机关运行补助支付及时率”指标：预期指标值为“大于等于95.00%”，实际完成指标值为“41.75%”，指标完成率为0.00%。（补充说明：偏差率为58.15%，偏差原因主要为：项目的各项指标已完成，全面贯彻落实过紧日子，节约成本，剩余资金不支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4.成本指标完成情况分析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“维修费支付资金”指标：预期指标值为“小于等于17.19万元”，实际完成指标值为“11.19万元”，指标完成率为100.00%。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“办公、设备购置支付资金”指标：预期指标值为“小于等于71.93万元”，实际完成指标值为“26.11万元”，指标完成率为100.00%。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p>
    <w:p w14:paraId="59537206">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（四）</w:t>
      </w:r>
      <w:r>
        <w:rPr>
          <w:rStyle w:val="18"/>
          <w:rFonts w:hint="eastAsia" w:ascii="楷体" w:hAnsi="楷体" w:eastAsia="楷体"/>
          <w:color w:val="auto"/>
          <w:spacing w:val="-4"/>
          <w:sz w:val="32"/>
          <w:szCs w:val="32"/>
        </w:rPr>
        <w:t>项目效益情况</w:t>
      </w:r>
    </w:p>
    <w:p w14:paraId="16A2BB4C">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（四）项目效益情况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项目效益类指标由2个二级指标和2个三级指标构成，权重分30.00分，实际得分30.00分。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1.经济效益完成情况分析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2.社会效益完成情况分析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“为人民群众提供有效的公共法律服务水平”指标：预期指标值为“提升”，实际完成指标值为“基本达成目标”，指标完成率为100.00%。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综上所述，本指标满分为15.00分，根据评分标准得15.00分。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3.生态效益完成情况分析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4.满意度完成情况分析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“干警人员满意度”指标：预期指标值为“大于等于95.00%”，实际完成指标值为“100.00%”，指标完成率为100.00%。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综上所述，本指标满分为15.00，根据评分标准得15.00分。</w:t>
      </w:r>
    </w:p>
    <w:p w14:paraId="6EC7E648">
      <w:pPr>
        <w:spacing w:line="540" w:lineRule="exact"/>
        <w:ind w:firstLine="567"/>
        <w:rPr>
          <w:rStyle w:val="18"/>
          <w:rFonts w:ascii="楷体" w:hAnsi="楷体" w:eastAsia="楷体"/>
          <w:color w:val="auto"/>
          <w:spacing w:val="-4"/>
          <w:sz w:val="32"/>
          <w:szCs w:val="32"/>
        </w:rPr>
      </w:pPr>
    </w:p>
    <w:p w14:paraId="2D339DA1">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预算执行进度与绩效指标偏差</w:t>
      </w:r>
    </w:p>
    <w:p w14:paraId="3873396A">
      <w:pPr>
        <w:spacing w:line="540" w:lineRule="exact"/>
        <w:ind w:firstLine="567"/>
        <w:rPr>
          <w:rStyle w:val="18"/>
          <w:rFonts w:hint="default" w:ascii="黑体" w:hAnsi="黑体" w:eastAsia="黑体"/>
          <w:b w:val="0"/>
          <w:color w:val="auto"/>
          <w:spacing w:val="-4"/>
          <w:sz w:val="32"/>
          <w:szCs w:val="32"/>
          <w:lang w:val="en-US" w:eastAsia="zh-CN"/>
        </w:rPr>
      </w:pPr>
      <w:r>
        <w:rPr>
          <w:rStyle w:val="18"/>
          <w:rFonts w:hint="eastAsia" w:ascii="楷体" w:hAnsi="楷体" w:eastAsia="楷体"/>
          <w:b w:val="0"/>
          <w:bCs w:val="0"/>
          <w:color w:val="auto"/>
          <w:spacing w:val="-4"/>
          <w:sz w:val="32"/>
          <w:szCs w:val="32"/>
        </w:rPr>
        <w:t>五、预算执行进度与绩效指标偏差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本项目年初预算资金总额为89.12万元，全年预算数为89.12万元，全年执行数为37.40万元，预算执行率为41.85%。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本项目共设置三级指标数量21个，满分指标数量19个，扣分指标数量2个，经分析计算所有三级指标完成率得出，本项目总体完成率为92.79%。</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综上所述本项目预算执行进度与总体完成进度之间的偏差为50.94%。主要偏差原因是：项目的各项指标已完成，全面贯彻落实过紧日子，节约成本，剩余资金不支付。</w:t>
      </w:r>
    </w:p>
    <w:p w14:paraId="3DB933DD">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rPr>
        <w:t>主要经验及做法、存在的问题及原因分析</w:t>
      </w:r>
    </w:p>
    <w:p w14:paraId="6BA03AB1">
      <w:pPr>
        <w:spacing w:line="540" w:lineRule="exact"/>
        <w:ind w:firstLine="567"/>
        <w:rPr>
          <w:rFonts w:ascii="仿宋_GB2312" w:eastAsia="仿宋_GB2312"/>
          <w:color w:val="auto"/>
          <w:spacing w:val="-4"/>
          <w:sz w:val="32"/>
          <w:szCs w:val="32"/>
        </w:rPr>
      </w:pPr>
      <w:r>
        <w:rPr>
          <w:rStyle w:val="18"/>
          <w:rFonts w:hint="eastAsia" w:ascii="楷体" w:hAnsi="楷体" w:eastAsia="楷体"/>
          <w:b w:val="0"/>
          <w:bCs w:val="0"/>
          <w:color w:val="auto"/>
          <w:spacing w:val="-4"/>
          <w:sz w:val="32"/>
          <w:szCs w:val="32"/>
        </w:rPr>
        <w:t>六、主要经验及做法、存在的问题及原因分析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（一）主要经验及做法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1.聚焦重点任务，推动项目工作落地落实</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2.坚持问题导向，加强执行监控，提高资金效益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3.强化绩效目标刚性约束，及时对项目进行跟踪问效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一是领导重视到位：高度重视，主要领导亲自抓，并予以充分的人力、财力保障。责任落实到位：将各项目工作落实到具体科室、具体岗位、具体个人。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    三是健全项目管理制度。我单位已有保证项目实施的制度、措施等，如《中华人民共和国预算法》、《预算管理办法》等。</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1.绩效档案归档工作有待提高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2.项目支出绩效评价存在局限，客观性有待加强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支出绩效评价工作还存在自我审定的局限性，项目支出绩效工作有较大弹性，评价报告多局限于描述项目实施情况，对问题避重就轻，对项目的打分松紧不一，会影响评价质量，在客观性和公正性上说服力不强。</w:t>
      </w:r>
    </w:p>
    <w:p w14:paraId="40421289">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七</w:t>
      </w:r>
      <w:r>
        <w:rPr>
          <w:rStyle w:val="18"/>
          <w:rFonts w:hint="eastAsia" w:ascii="黑体" w:hAnsi="黑体" w:eastAsia="黑体"/>
          <w:b w:val="0"/>
          <w:color w:val="auto"/>
          <w:spacing w:val="-4"/>
          <w:sz w:val="32"/>
          <w:szCs w:val="32"/>
        </w:rPr>
        <w:t>、有关建议</w:t>
      </w:r>
    </w:p>
    <w:p w14:paraId="19304323">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b w:val="0"/>
          <w:bCs w:val="0"/>
          <w:color w:val="auto"/>
          <w:spacing w:val="-4"/>
          <w:sz w:val="32"/>
          <w:szCs w:val="32"/>
        </w:rPr>
        <w:t>七、有关建议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1.扎实推进档案规范化建设，提升档案管理水平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进一步完善项目评价资料。项目启动时同步做好档案的归纳与整理，及时整理、收集、汇总，健全档案资料。二是严格落实自治区关于绩效管理工作档案资料归档的相关要求，强化收集力度，确保归档资料的完整齐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2.高度重视，加强领导</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高度重视，加强领导，精心组织。项目绩效领导小组对绩效评价工作进行指导、监督、检查，确保项目绩效评价反映项目完成真实情况。严格执行项目绩效评价工作要求，切实提高项目绩效报告的客观性和公正性。</w:t>
      </w:r>
    </w:p>
    <w:p w14:paraId="54B19D8F">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八</w:t>
      </w:r>
      <w:r>
        <w:rPr>
          <w:rStyle w:val="18"/>
          <w:rFonts w:hint="eastAsia" w:ascii="黑体" w:hAnsi="黑体" w:eastAsia="黑体"/>
          <w:b w:val="0"/>
          <w:color w:val="auto"/>
          <w:spacing w:val="-4"/>
          <w:sz w:val="32"/>
          <w:szCs w:val="32"/>
        </w:rPr>
        <w:t>、其他需要说明的问题</w:t>
      </w:r>
    </w:p>
    <w:p w14:paraId="0B454B34">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（四）我单位对上述项目支出绩效评价报告内反映内容的真实性、完整性负责，接受上级部门及社会公众监督。</w:t>
      </w:r>
    </w:p>
    <w:p w14:paraId="4983021C">
      <w:pPr>
        <w:spacing w:line="540" w:lineRule="exact"/>
        <w:ind w:firstLine="567"/>
        <w:rPr>
          <w:rStyle w:val="18"/>
          <w:rFonts w:ascii="仿宋" w:hAnsi="仿宋" w:eastAsia="仿宋"/>
          <w:b w:val="0"/>
          <w:color w:val="auto"/>
          <w:spacing w:val="-4"/>
          <w:sz w:val="32"/>
          <w:szCs w:val="32"/>
        </w:rPr>
      </w:pPr>
    </w:p>
    <w:p w14:paraId="3CA41961">
      <w:pPr>
        <w:spacing w:line="540" w:lineRule="exact"/>
        <w:ind w:firstLine="567"/>
        <w:rPr>
          <w:rStyle w:val="18"/>
          <w:rFonts w:ascii="仿宋" w:hAnsi="仿宋" w:eastAsia="仿宋"/>
          <w:b w:val="0"/>
          <w:color w:val="auto"/>
          <w:spacing w:val="-4"/>
          <w:sz w:val="32"/>
          <w:szCs w:val="32"/>
        </w:rPr>
      </w:pPr>
    </w:p>
    <w:p w14:paraId="1889803A">
      <w:pPr>
        <w:spacing w:line="540" w:lineRule="exact"/>
        <w:ind w:firstLine="567"/>
        <w:rPr>
          <w:rStyle w:val="18"/>
          <w:rFonts w:ascii="仿宋" w:hAnsi="仿宋" w:eastAsia="仿宋"/>
          <w:b w:val="0"/>
          <w:color w:val="auto"/>
          <w:spacing w:val="-4"/>
          <w:sz w:val="32"/>
          <w:szCs w:val="32"/>
        </w:rPr>
      </w:pPr>
    </w:p>
    <w:p w14:paraId="04620B37">
      <w:pPr>
        <w:spacing w:line="540" w:lineRule="exact"/>
        <w:ind w:firstLine="567"/>
        <w:rPr>
          <w:rStyle w:val="18"/>
          <w:rFonts w:ascii="仿宋" w:hAnsi="仿宋" w:eastAsia="仿宋"/>
          <w:b w:val="0"/>
          <w:color w:val="auto"/>
          <w:spacing w:val="-4"/>
          <w:sz w:val="32"/>
          <w:szCs w:val="32"/>
        </w:rPr>
      </w:pPr>
    </w:p>
    <w:p w14:paraId="7F1F0B55">
      <w:pPr>
        <w:spacing w:line="540" w:lineRule="exact"/>
        <w:ind w:firstLine="567"/>
        <w:rPr>
          <w:rStyle w:val="18"/>
          <w:rFonts w:ascii="仿宋" w:hAnsi="仿宋" w:eastAsia="仿宋"/>
          <w:b w:val="0"/>
          <w:color w:val="auto"/>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E6CA9D-D109-4552-8A05-E2D103EE61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0C99033-E322-47C8-9299-6FD7A8CBAEC7}"/>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86CB24E2-B421-46BA-91F7-0042B01FA5F1}"/>
  </w:font>
  <w:font w:name="华文中宋">
    <w:panose1 w:val="02010600040101010101"/>
    <w:charset w:val="86"/>
    <w:family w:val="auto"/>
    <w:pitch w:val="default"/>
    <w:sig w:usb0="00000287" w:usb1="080F0000" w:usb2="00000000" w:usb3="00000000" w:csb0="0004009F" w:csb1="DFD70000"/>
    <w:embedRegular r:id="rId4" w:fontKey="{9939A1A5-0B7F-4D91-B460-ECEAE3FE6ED4}"/>
  </w:font>
  <w:font w:name="方正小标宋_GBK">
    <w:panose1 w:val="02000000000000000000"/>
    <w:charset w:val="86"/>
    <w:family w:val="script"/>
    <w:pitch w:val="default"/>
    <w:sig w:usb0="A00002BF" w:usb1="38CF7CFA" w:usb2="00082016" w:usb3="00000000" w:csb0="00040001" w:csb1="00000000"/>
    <w:embedRegular r:id="rId5" w:fontKey="{98EC051A-10A7-4ACC-A6D6-61458C284816}"/>
  </w:font>
  <w:font w:name="仿宋_GB2312">
    <w:panose1 w:val="02010609030101010101"/>
    <w:charset w:val="86"/>
    <w:family w:val="modern"/>
    <w:pitch w:val="default"/>
    <w:sig w:usb0="00000001" w:usb1="080E0000" w:usb2="00000000" w:usb3="00000000" w:csb0="00040000" w:csb1="00000000"/>
    <w:embedRegular r:id="rId6" w:fontKey="{0ABE0253-0995-45F5-8A37-CA16A49093E4}"/>
  </w:font>
  <w:font w:name="楷体">
    <w:panose1 w:val="02010609060101010101"/>
    <w:charset w:val="86"/>
    <w:family w:val="modern"/>
    <w:pitch w:val="default"/>
    <w:sig w:usb0="800002BF" w:usb1="38CF7CFA" w:usb2="00000016" w:usb3="00000000" w:csb0="00040001" w:csb1="00000000"/>
    <w:embedRegular r:id="rId7" w:fontKey="{E4230209-BB9A-456F-8EA6-37658A1905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6F85B20D">
        <w:pPr>
          <w:pStyle w:val="12"/>
          <w:jc w:val="center"/>
        </w:pPr>
        <w:r>
          <w:fldChar w:fldCharType="begin"/>
        </w:r>
        <w:r>
          <w:instrText xml:space="preserve">PAGE   \* MERGEFORMAT</w:instrText>
        </w:r>
        <w:r>
          <w:fldChar w:fldCharType="separate"/>
        </w:r>
        <w:r>
          <w:rPr>
            <w:lang w:val="zh-CN"/>
          </w:rPr>
          <w:t>2</w:t>
        </w:r>
        <w:r>
          <w:fldChar w:fldCharType="end"/>
        </w:r>
      </w:p>
    </w:sdtContent>
  </w:sdt>
  <w:p w14:paraId="578E2307">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wYmJhZjc0NGViYWI2MzA4ODc2NzVjMTUwODc4MTA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3029612C"/>
    <w:rsid w:val="32A221C5"/>
    <w:rsid w:val="33F20F2A"/>
    <w:rsid w:val="34C44675"/>
    <w:rsid w:val="3B5B5607"/>
    <w:rsid w:val="3CE21B3C"/>
    <w:rsid w:val="4D2606A1"/>
    <w:rsid w:val="51830480"/>
    <w:rsid w:val="53A616BE"/>
    <w:rsid w:val="54662BFB"/>
    <w:rsid w:val="5CF1259F"/>
    <w:rsid w:val="62051CA5"/>
    <w:rsid w:val="651716B3"/>
    <w:rsid w:val="694C2CB3"/>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95</Words>
  <Characters>103</Characters>
  <Lines>4</Lines>
  <Paragraphs>1</Paragraphs>
  <TotalTime>2</TotalTime>
  <ScaleCrop>false</ScaleCrop>
  <LinksUpToDate>false</LinksUpToDate>
  <CharactersWithSpaces>115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2026-09-21T05:25:16Z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