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59D8F">
      <w:pPr>
        <w:spacing w:line="540" w:lineRule="exact"/>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附件2：</w:t>
      </w:r>
    </w:p>
    <w:p w14:paraId="6CC82CB6">
      <w:pPr>
        <w:spacing w:line="540" w:lineRule="exact"/>
        <w:jc w:val="center"/>
        <w:rPr>
          <w:rFonts w:ascii="华文中宋" w:hAnsi="华文中宋" w:eastAsia="华文中宋" w:cs="宋体"/>
          <w:b/>
          <w:color w:val="auto"/>
          <w:kern w:val="0"/>
          <w:sz w:val="52"/>
          <w:szCs w:val="52"/>
        </w:rPr>
      </w:pPr>
    </w:p>
    <w:p w14:paraId="1D67A5FE">
      <w:pPr>
        <w:spacing w:line="540" w:lineRule="exact"/>
        <w:jc w:val="both"/>
        <w:rPr>
          <w:rFonts w:ascii="华文中宋" w:hAnsi="华文中宋" w:eastAsia="华文中宋" w:cs="宋体"/>
          <w:b/>
          <w:color w:val="auto"/>
          <w:kern w:val="0"/>
          <w:sz w:val="52"/>
          <w:szCs w:val="52"/>
        </w:rPr>
      </w:pPr>
    </w:p>
    <w:p w14:paraId="1D19277F">
      <w:pPr>
        <w:spacing w:line="540" w:lineRule="exact"/>
        <w:jc w:val="center"/>
        <w:rPr>
          <w:rFonts w:ascii="华文中宋" w:hAnsi="华文中宋" w:eastAsia="华文中宋" w:cs="宋体"/>
          <w:b/>
          <w:color w:val="auto"/>
          <w:kern w:val="0"/>
          <w:sz w:val="52"/>
          <w:szCs w:val="52"/>
        </w:rPr>
      </w:pPr>
    </w:p>
    <w:p w14:paraId="3AAD6B7D">
      <w:pPr>
        <w:spacing w:line="540" w:lineRule="exact"/>
        <w:jc w:val="center"/>
        <w:rPr>
          <w:rFonts w:ascii="华文中宋" w:hAnsi="华文中宋" w:eastAsia="华文中宋" w:cs="宋体"/>
          <w:b/>
          <w:color w:val="auto"/>
          <w:kern w:val="0"/>
          <w:sz w:val="52"/>
          <w:szCs w:val="52"/>
        </w:rPr>
      </w:pPr>
    </w:p>
    <w:p w14:paraId="6C717F95">
      <w:pPr>
        <w:spacing w:line="540" w:lineRule="exact"/>
        <w:jc w:val="center"/>
        <w:rPr>
          <w:rFonts w:ascii="华文中宋" w:hAnsi="华文中宋" w:eastAsia="华文中宋" w:cs="宋体"/>
          <w:b/>
          <w:color w:val="auto"/>
          <w:kern w:val="0"/>
          <w:sz w:val="52"/>
          <w:szCs w:val="52"/>
        </w:rPr>
      </w:pPr>
    </w:p>
    <w:p w14:paraId="5EE96D8F">
      <w:pPr>
        <w:spacing w:line="540" w:lineRule="exact"/>
        <w:jc w:val="center"/>
        <w:rPr>
          <w:rFonts w:ascii="方正小标宋_GBK" w:hAnsi="华文中宋" w:eastAsia="方正小标宋_GBK" w:cs="宋体"/>
          <w:b/>
          <w:color w:val="auto"/>
          <w:kern w:val="0"/>
          <w:sz w:val="48"/>
          <w:szCs w:val="48"/>
        </w:rPr>
      </w:pPr>
      <w:r>
        <w:rPr>
          <w:rFonts w:hint="eastAsia" w:ascii="方正小标宋_GBK" w:hAnsi="华文中宋" w:eastAsia="方正小标宋_GBK" w:cs="宋体"/>
          <w:b/>
          <w:color w:val="auto"/>
          <w:kern w:val="0"/>
          <w:sz w:val="48"/>
          <w:szCs w:val="48"/>
        </w:rPr>
        <w:t>项目支出绩效自评报告</w:t>
      </w:r>
    </w:p>
    <w:p w14:paraId="33C9C30F">
      <w:pPr>
        <w:spacing w:line="540" w:lineRule="exact"/>
        <w:jc w:val="center"/>
        <w:rPr>
          <w:rFonts w:ascii="华文中宋" w:hAnsi="华文中宋" w:eastAsia="华文中宋" w:cs="宋体"/>
          <w:b/>
          <w:color w:val="auto"/>
          <w:kern w:val="0"/>
          <w:sz w:val="52"/>
          <w:szCs w:val="52"/>
        </w:rPr>
      </w:pPr>
    </w:p>
    <w:p w14:paraId="1D8D1D4D">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r>
        <w:rPr>
          <w:rStyle w:val="18"/>
          <w:rFonts w:hint="eastAsia" w:ascii="楷体" w:hAnsi="楷体" w:eastAsia="楷体"/>
          <w:color w:val="auto"/>
          <w:spacing w:val="-4"/>
          <w:sz w:val="32"/>
          <w:szCs w:val="32"/>
        </w:rPr>
        <w:t>2023</w:t>
      </w:r>
      <w:r>
        <w:rPr>
          <w:rFonts w:hint="eastAsia" w:hAnsi="宋体" w:eastAsia="仿宋_GB2312" w:cs="宋体"/>
          <w:color w:val="auto"/>
          <w:kern w:val="0"/>
          <w:sz w:val="36"/>
          <w:szCs w:val="36"/>
        </w:rPr>
        <w:t xml:space="preserve">  年度）</w:t>
      </w:r>
    </w:p>
    <w:p w14:paraId="3CC75A65">
      <w:pPr>
        <w:spacing w:line="540" w:lineRule="exact"/>
        <w:jc w:val="center"/>
        <w:rPr>
          <w:rFonts w:hAnsi="宋体" w:eastAsia="仿宋_GB2312" w:cs="宋体"/>
          <w:color w:val="auto"/>
          <w:kern w:val="0"/>
          <w:sz w:val="30"/>
          <w:szCs w:val="30"/>
        </w:rPr>
      </w:pPr>
    </w:p>
    <w:p w14:paraId="283E094D">
      <w:pPr>
        <w:spacing w:line="540" w:lineRule="exact"/>
        <w:jc w:val="center"/>
        <w:rPr>
          <w:rFonts w:hAnsi="宋体" w:eastAsia="仿宋_GB2312" w:cs="宋体"/>
          <w:color w:val="auto"/>
          <w:kern w:val="0"/>
          <w:sz w:val="30"/>
          <w:szCs w:val="30"/>
        </w:rPr>
      </w:pPr>
    </w:p>
    <w:p w14:paraId="6E9375C2">
      <w:pPr>
        <w:spacing w:line="540" w:lineRule="exact"/>
        <w:jc w:val="center"/>
        <w:rPr>
          <w:rFonts w:hAnsi="宋体" w:eastAsia="仿宋_GB2312" w:cs="宋体"/>
          <w:color w:val="auto"/>
          <w:kern w:val="0"/>
          <w:sz w:val="30"/>
          <w:szCs w:val="30"/>
        </w:rPr>
      </w:pPr>
    </w:p>
    <w:p w14:paraId="1B9CC73C">
      <w:pPr>
        <w:spacing w:line="540" w:lineRule="exact"/>
        <w:jc w:val="center"/>
        <w:rPr>
          <w:rFonts w:hAnsi="宋体" w:eastAsia="仿宋_GB2312" w:cs="宋体"/>
          <w:color w:val="auto"/>
          <w:kern w:val="0"/>
          <w:sz w:val="30"/>
          <w:szCs w:val="30"/>
        </w:rPr>
      </w:pPr>
    </w:p>
    <w:p w14:paraId="67B5F06E">
      <w:pPr>
        <w:spacing w:line="540" w:lineRule="exact"/>
        <w:rPr>
          <w:rFonts w:hAnsi="宋体" w:eastAsia="仿宋_GB2312" w:cs="宋体"/>
          <w:color w:val="auto"/>
          <w:kern w:val="0"/>
          <w:sz w:val="30"/>
          <w:szCs w:val="30"/>
        </w:rPr>
      </w:pPr>
    </w:p>
    <w:p w14:paraId="0840354F">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14:paraId="50820076">
      <w:pPr>
        <w:spacing w:line="700" w:lineRule="exact"/>
        <w:ind w:firstLine="900" w:firstLineChars="25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Style w:val="18"/>
          <w:rFonts w:hint="eastAsia" w:ascii="楷体" w:hAnsi="楷体" w:eastAsia="楷体"/>
          <w:color w:val="auto"/>
          <w:spacing w:val="-4"/>
          <w:sz w:val="32"/>
          <w:szCs w:val="32"/>
        </w:rPr>
        <w:t>电子政务外网、互联网高强度安全隔离和国密算法认证及辅助设备改造项目</w:t>
      </w:r>
    </w:p>
    <w:p w14:paraId="0F9BC1CA">
      <w:pPr>
        <w:spacing w:line="540" w:lineRule="exact"/>
        <w:ind w:firstLine="567"/>
        <w:rPr>
          <w:rFonts w:ascii="楷体" w:hAnsi="楷体" w:eastAsia="楷体"/>
          <w:b/>
          <w:bCs/>
          <w:color w:val="auto"/>
          <w:spacing w:val="-4"/>
          <w:sz w:val="32"/>
          <w:szCs w:val="32"/>
        </w:rPr>
      </w:pPr>
      <w:r>
        <w:rPr>
          <w:rFonts w:hint="eastAsia" w:hAnsi="宋体" w:eastAsia="仿宋_GB2312" w:cs="宋体"/>
          <w:color w:val="auto"/>
          <w:kern w:val="0"/>
          <w:sz w:val="36"/>
          <w:szCs w:val="36"/>
        </w:rPr>
        <w:t xml:space="preserve">  实施单位（公章）：</w:t>
      </w:r>
      <w:r>
        <w:rPr>
          <w:rStyle w:val="18"/>
          <w:rFonts w:hint="eastAsia" w:ascii="楷体" w:hAnsi="楷体" w:eastAsia="楷体"/>
          <w:color w:val="auto"/>
          <w:spacing w:val="-4"/>
          <w:sz w:val="28"/>
          <w:szCs w:val="28"/>
        </w:rPr>
        <w:t>昌吉回族自治州人民政府电子政务办公室</w:t>
      </w:r>
    </w:p>
    <w:p w14:paraId="2289331B">
      <w:pPr>
        <w:spacing w:line="540" w:lineRule="exact"/>
        <w:ind w:firstLine="900" w:firstLineChars="250"/>
        <w:rPr>
          <w:rFonts w:ascii="楷体" w:hAnsi="楷体" w:eastAsia="楷体"/>
          <w:b/>
          <w:bCs/>
          <w:color w:val="auto"/>
          <w:spacing w:val="-4"/>
          <w:sz w:val="28"/>
          <w:szCs w:val="28"/>
        </w:rPr>
      </w:pPr>
      <w:r>
        <w:rPr>
          <w:rFonts w:hint="eastAsia" w:hAnsi="宋体" w:eastAsia="仿宋_GB2312" w:cs="宋体"/>
          <w:color w:val="auto"/>
          <w:kern w:val="0"/>
          <w:sz w:val="36"/>
          <w:szCs w:val="36"/>
        </w:rPr>
        <w:t>主管部门（公章）：</w:t>
      </w:r>
      <w:r>
        <w:rPr>
          <w:rStyle w:val="18"/>
          <w:rFonts w:hint="eastAsia" w:ascii="楷体" w:hAnsi="楷体" w:eastAsia="楷体"/>
          <w:color w:val="auto"/>
          <w:spacing w:val="-4"/>
          <w:sz w:val="28"/>
          <w:szCs w:val="28"/>
        </w:rPr>
        <w:t>昌吉回族自治州人民政府电子政务办公室</w:t>
      </w:r>
    </w:p>
    <w:p w14:paraId="6C34843D">
      <w:pPr>
        <w:spacing w:line="540" w:lineRule="exact"/>
        <w:ind w:firstLine="900" w:firstLineChars="250"/>
        <w:rPr>
          <w:rFonts w:ascii="楷体" w:hAnsi="楷体" w:eastAsia="楷体"/>
          <w:b/>
          <w:bCs/>
          <w:color w:val="auto"/>
          <w:spacing w:val="-4"/>
          <w:sz w:val="32"/>
          <w:szCs w:val="32"/>
        </w:rPr>
      </w:pPr>
      <w:r>
        <w:rPr>
          <w:rFonts w:hint="eastAsia" w:hAnsi="宋体" w:eastAsia="仿宋_GB2312" w:cs="宋体"/>
          <w:color w:val="auto"/>
          <w:kern w:val="0"/>
          <w:sz w:val="36"/>
          <w:szCs w:val="36"/>
        </w:rPr>
        <w:t>项目负责人（签章）：</w:t>
      </w:r>
      <w:r>
        <w:rPr>
          <w:rStyle w:val="18"/>
          <w:rFonts w:hint="eastAsia" w:ascii="楷体" w:hAnsi="楷体" w:eastAsia="楷体"/>
          <w:color w:val="auto"/>
          <w:spacing w:val="-4"/>
          <w:sz w:val="32"/>
          <w:szCs w:val="32"/>
        </w:rPr>
        <w:t>田涛</w:t>
      </w:r>
    </w:p>
    <w:p w14:paraId="1837E4CF">
      <w:pPr>
        <w:spacing w:line="540" w:lineRule="exact"/>
        <w:ind w:left="273" w:firstLine="567"/>
        <w:rPr>
          <w:rStyle w:val="18"/>
          <w:rFonts w:ascii="楷体" w:hAnsi="楷体" w:eastAsia="楷体"/>
          <w:color w:val="auto"/>
          <w:spacing w:val="-4"/>
          <w:sz w:val="32"/>
          <w:szCs w:val="32"/>
        </w:rPr>
      </w:pPr>
      <w:r>
        <w:rPr>
          <w:rFonts w:hint="eastAsia" w:hAnsi="宋体" w:eastAsia="仿宋_GB2312" w:cs="宋体"/>
          <w:color w:val="auto"/>
          <w:kern w:val="0"/>
          <w:sz w:val="36"/>
          <w:szCs w:val="36"/>
        </w:rPr>
        <w:t>填报时间：</w:t>
      </w:r>
      <w:r>
        <w:rPr>
          <w:rStyle w:val="18"/>
          <w:rFonts w:hint="eastAsia" w:ascii="楷体" w:hAnsi="楷体" w:eastAsia="楷体"/>
          <w:color w:val="auto"/>
          <w:spacing w:val="-4"/>
          <w:sz w:val="32"/>
          <w:szCs w:val="32"/>
        </w:rPr>
        <w:t>2024年04月02日</w:t>
      </w:r>
    </w:p>
    <w:p w14:paraId="3CDDA49C">
      <w:pPr>
        <w:spacing w:line="700" w:lineRule="exact"/>
        <w:ind w:firstLine="708" w:firstLineChars="236"/>
        <w:jc w:val="left"/>
        <w:rPr>
          <w:rFonts w:hAnsi="宋体" w:eastAsia="仿宋_GB2312" w:cs="宋体"/>
          <w:color w:val="auto"/>
          <w:kern w:val="0"/>
          <w:sz w:val="30"/>
          <w:szCs w:val="30"/>
        </w:rPr>
      </w:pPr>
    </w:p>
    <w:p w14:paraId="232A4564">
      <w:pPr>
        <w:spacing w:line="540" w:lineRule="exact"/>
        <w:rPr>
          <w:rStyle w:val="18"/>
          <w:rFonts w:ascii="黑体" w:hAnsi="黑体" w:eastAsia="黑体"/>
          <w:b w:val="0"/>
          <w:color w:val="auto"/>
          <w:spacing w:val="-4"/>
          <w:sz w:val="32"/>
          <w:szCs w:val="32"/>
        </w:rPr>
      </w:pPr>
    </w:p>
    <w:p w14:paraId="042C3BD5">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一、基本情况</w:t>
      </w:r>
    </w:p>
    <w:p w14:paraId="1E6DB4E8">
      <w:pPr>
        <w:spacing w:line="540" w:lineRule="exact"/>
        <w:ind w:firstLine="567"/>
        <w:rPr>
          <w:rStyle w:val="18"/>
          <w:rFonts w:hint="default" w:ascii="楷体" w:hAnsi="楷体" w:eastAsia="楷体"/>
          <w:color w:val="auto"/>
          <w:spacing w:val="-4"/>
          <w:sz w:val="32"/>
          <w:szCs w:val="32"/>
          <w:lang w:val="en-US" w:eastAsia="zh-CN"/>
        </w:rPr>
      </w:pPr>
      <w:r>
        <w:rPr>
          <w:rStyle w:val="18"/>
          <w:rFonts w:hint="eastAsia" w:ascii="楷体" w:hAnsi="楷体" w:eastAsia="楷体"/>
          <w:color w:val="auto"/>
          <w:spacing w:val="-4"/>
          <w:sz w:val="32"/>
          <w:szCs w:val="32"/>
        </w:rPr>
        <w:t>（一）项目概况</w:t>
      </w:r>
      <w:r>
        <w:rPr>
          <w:rStyle w:val="18"/>
          <w:rFonts w:hint="eastAsia" w:ascii="楷体" w:hAnsi="楷体" w:eastAsia="楷体"/>
          <w:color w:val="auto"/>
          <w:spacing w:val="-4"/>
          <w:sz w:val="32"/>
          <w:szCs w:val="32"/>
          <w:lang w:eastAsia="zh-CN"/>
        </w:rPr>
        <w:t>。</w:t>
      </w:r>
    </w:p>
    <w:p w14:paraId="29E25020">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1.项目背景</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国家电子政务外网管理中心《关于组织开展全国政外网边界安全专项检查工作的通知》文件要求:“为强化政务外网与互联网边界安全，做好建国70周年期间网络安全保障，需各电子政务外网管理单位开展自查工作、抓好整改落实，完善规范各级电子政务外网和互联网边界，确保电子政务外网安全运行”。</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当前昌吉州电子政务外网数据安全系统、抗拒绝攻击系统、核心交换、入侵防御等系统不完善，因此，急需做相关改造，新增数据安全交换系统，更新替换抗拒绝攻击设备、入侵防御等，以实现昌吉州政务云网络与信息安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2.主要内容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（1）项目名称：电子政务外网、互联网高强度安全隔离和国密算法认证及辅助设备改造项目（以下简称“该项目”或“项目”）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（2）项目主要内容：昌吉州电子政务外网急需做相关改造，需新增数据安全交换系统，需更新替换抗拒绝攻击设备、入侵防御、WEB应用防护系统、负载均衡、核心交换36口40GB 2块、24口40GB数据交换接口板。</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3.实施情况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实施主体：昌吉州人民政府电子政务中心。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实施时间：本项目实施周期为2023年1月-2023年12月。</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实施情况：2023年1月份进行设备采购，2月份项目所有设备均全部到位，3月至10月实施项目，将原有的国际算法认证系统改为国密算法认证系统，此次项目中国密算法身份认证网CA、堡垒机、VPN，其他设备采购完善机房消防安全等多个设施。11月根据专家组论证，结合国家电子政务外网相关标准规范文件要求，进行此次项目验收工作，经专家组一致意见“项目符合验收标准，可以支付项目尾款。”</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4.项目实施主体</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（1）主要职能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人民政府电子政务中心是昌吉州人民政府办公室所属事业单位。负责全州政府系统有关电子政务的组织、规划、协调和指导工作；负责自治州统一的电子政务专网和应用系统的建设和应用管理工作，负责为自治州政府领导和政府办公室机关服务的电子政务系统的组织、规划、建设和应用保障工作；负责为社会和群众提供网上服务的自治州政府电子政务外网和公众网站的建设和应用管理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（2）机构设置情况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回族自治州人民政府电子政务中心机构设置：无下属预算单位，内设4个科室，分别是：综合科、宣传科、技术科、应用推进科。州人民政府电子政务中心单位人员总数12名，其中：在职11名，退休1名，离休0名。实有人员12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5.资金投入和使用情况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（1）项目资金安排落实、总投入等情况分析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本项目预算安排总额为900.00万元，资金来源为财政拨款，其中：财政资金900.00，其他资金0.00万元，2023年实际收到预算资金900.00万元，预算资金到位率为100.00%。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（2）项目资金实际使用情况分析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截至2023年12月31日，本项目实际支付资金900.00元，预算执行率100.00%。本项目资金主要用于支付信息网络及软件购置更新费用900.00万元。</w:t>
      </w:r>
    </w:p>
    <w:p w14:paraId="00E33CFE">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（二）项目绩效目标</w:t>
      </w:r>
    </w:p>
    <w:p w14:paraId="60D7DE0E">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1.总体目标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完成电子政务外网和互联网强逻辑隔离建设，原有国际算法认证系统变更为国密算法认证系统，确保电子政务外网边界安全、符合国家区州相关业务建设标准要求。系统改造数量1个，保障人员2名，验收合格率超过90.00%，系统故障率小于10.00%，系统故障修复处理时间不超过1天，2小时内响应系统运行维护，硬件设施及软件系统购置不超过900万元，预算成本控制率不超过99.8%，最终实现昌吉州政务云网络与信息安全有效保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2.阶段性目标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（1）项目产出指标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①数量指标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“信息系统升级改造数”指标，预期指标值为“大于等于1个”；</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“保障人员数”指标，预期指标值为“大于等于2人”；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②质量指标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“项目验收合格率”指标，预期指标值为“大于等于90.00%”；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“系统故障率”指标，预期指标值为“小于等于10.00%”；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③时效指标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“系统故障修复处理时间”指标，预期指标值为“小于等于1天”；</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“系统运行维护响应时间”指标，预期指标值为“小于等于2小时”；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（2）项目成本指标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“硬件设施及软件系统购置”指标，预期指标值为“小于等于900.00万元”；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“预算成本控制率”指标，预期指标值为“小于等于99.80%”；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③生态环境成本指标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①经济效益指标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②社会效益指标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“昌吉州政务云网络与信息安全有效保障”指标，预期指标值为“大于等于90.00%”；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③生态效益指标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（4）项目满意度指标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①满意度指标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无此类指标。</w:t>
      </w:r>
    </w:p>
    <w:p w14:paraId="116E8D50">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二、绩效评价工作开展情况</w:t>
      </w:r>
    </w:p>
    <w:p w14:paraId="73B9C80E">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（一）绩效评价目的、对象和范围</w:t>
      </w:r>
    </w:p>
    <w:p w14:paraId="1CA6F0A1">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1.绩效评价的目的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2.绩效评价对象</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我单位根据《财政支出绩效评价管理暂行办法》（财预〔2020〕10号）文件要求实施评价工作，本次评价对象为电子政务外网、互联网高强度安全隔离和国密算法认证及辅助设备改造项目，评价核心为项目资金、项目产出、项目效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3.绩效评价范围</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4.绩效评价依据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(1)《中华人民共和国预算法》；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(2)《中共中央国务院关于全面实施预算绩效管理的意见》（中发〔2018〕34号）；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(3)《项目支出绩效评价管理办法》（财预〔2020〕10号）；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(4)《自治区财政支出绩效评价管理暂行办法》（新财预〔2018〕189号）；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(5)项目其他相关资料。</w:t>
      </w:r>
    </w:p>
    <w:p w14:paraId="3D320869">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（二）绩效评价原则、评价指标体系、评价方法、评价标准</w:t>
      </w:r>
    </w:p>
    <w:p w14:paraId="2392A1E9">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1.绩效评价原则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（4）公开透明。绩效评价结果应依法依规公开，并自觉接受社会监督。</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2.绩效评价指标体系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3.评价方法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4.评价标准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55436C9">
      <w:pPr>
        <w:spacing w:line="540" w:lineRule="exact"/>
        <w:ind w:firstLine="567" w:firstLineChars="181"/>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（三）绩效评价工作过程</w:t>
      </w:r>
    </w:p>
    <w:p w14:paraId="734FCAE5">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1.前期准备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于2024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史建龙（评价小组组长）：主要负责项目策划和监督，全面负责项目绩效评价办稿的最终质量，对评估人员出具的最终报告质量进行复核，确保评估结果的客观性；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丁浩博（评价小组组员）：主要负责资料的收集，取证、数据统计分析；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聂亚楠（评价小组组员）：主要负责主要负责项目报告的制定，指标的研判，数据分析及报告撰写。</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2024年3月2日-3月8日，评价工作进入实施阶段。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3.分析评价</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2024年3月9日-3月21日，评价小组按照绩效评价的原则和规范，对取得的资料进行审查核实，对采集的数据进行分析，按照绩效评价指标评分表逐项进行打分、分析、汇总各方评价结果。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4.撰写与提交评价报告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2024年3月22-3月31日，评价小组撰写绩效评价报告，按照新疆维吾尔自治区财政绩效管理信息系统绩效评价模块中统一格式和文本框架撰写绩效评价报告并提交审核。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5.问题整改</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6.档案整理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建立和落实档案管理制度，将项目相关资料存档，包括但不限于：评价项目基本情况和相关文件、评价实施方案、项目支付资料等相关档案。</w:t>
      </w:r>
    </w:p>
    <w:p w14:paraId="4C4E0AC1">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三、综合评价情况及评价结论</w:t>
      </w:r>
    </w:p>
    <w:p w14:paraId="425BC01F">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（一）综合评价情况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评价，本项目达成年初设立的绩效目标，在实施过程中取得了良好的成效，具体表现在：昌吉州电子政务外网、互联网高强度安全隔离和国密算法认证及辅助设备改造项目的实施，全州党政机关和160万各族群众在线提供生活、医疗、教育、交通等生活服务保障。其中核酸检测系统、机动车尾气检测、政务一体化平台、交通运输调度检测服务平台等多个系统应用在贯彻落实社会稳定和长治久安总目标，推动昌吉州经济高质量发展和疫情防控工作中发挥着重要作用。用“数据跑腿”已成为科学有效提高政府工作效率的重要方式，也让全州各族群众充分感受到一站式服务、共享政务信息带来的惠民利民福利。确保了</w:t>
      </w:r>
      <w:r>
        <w:rPr>
          <w:rStyle w:val="18"/>
          <w:rFonts w:hint="eastAsia" w:ascii="楷体" w:hAnsi="楷体" w:eastAsia="楷体"/>
          <w:b w:val="0"/>
          <w:bCs w:val="0"/>
          <w:color w:val="auto"/>
          <w:spacing w:val="-4"/>
          <w:sz w:val="32"/>
          <w:szCs w:val="32"/>
          <w:lang w:val="en-US" w:eastAsia="zh-CN"/>
        </w:rPr>
        <w:t>党的</w:t>
      </w:r>
      <w:bookmarkStart w:id="0" w:name="_GoBack"/>
      <w:bookmarkEnd w:id="0"/>
      <w:r>
        <w:rPr>
          <w:rStyle w:val="18"/>
          <w:rFonts w:hint="eastAsia" w:ascii="楷体" w:hAnsi="楷体" w:eastAsia="楷体"/>
          <w:b w:val="0"/>
          <w:bCs w:val="0"/>
          <w:color w:val="auto"/>
          <w:spacing w:val="-4"/>
          <w:sz w:val="32"/>
          <w:szCs w:val="32"/>
        </w:rPr>
        <w:t>二十大期间昌吉州政务云平台、电子政务外网网络安全运行提供了保障。但在实施过程中也存在一些不足：项目涉及的设备种类较多，安全策略较多，配合厂家较多，在调测过程中存在一定的困难，给项目进度造成了一定的被动，延误了项目完工进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（二）评价结论</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100.00%。最终评分结果：总分为100.00分，绩效评级为“优”。综合评价结论如下：</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项目决策类指标共设置6个，满分指标6个，得分率100.00%；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过程管理类指标共设置5个，满分指标5个，得分率100.00%；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项目产出类指标共设置8个，满分指标8个，得分率100.00%；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项目效益类指标共设置1个，满分指标1个，得分率100.00%。</w:t>
      </w:r>
    </w:p>
    <w:p w14:paraId="2F6E29B7">
      <w:pPr>
        <w:spacing w:line="540" w:lineRule="exact"/>
        <w:ind w:firstLine="640"/>
        <w:rPr>
          <w:rStyle w:val="18"/>
          <w:rFonts w:ascii="黑体" w:hAnsi="黑体" w:eastAsia="黑体"/>
          <w:color w:val="auto"/>
        </w:rPr>
      </w:pPr>
      <w:r>
        <w:rPr>
          <w:rStyle w:val="18"/>
          <w:rFonts w:hint="eastAsia" w:ascii="黑体" w:hAnsi="黑体" w:eastAsia="黑体"/>
          <w:b w:val="0"/>
          <w:color w:val="auto"/>
          <w:spacing w:val="-4"/>
          <w:sz w:val="32"/>
          <w:szCs w:val="32"/>
        </w:rPr>
        <w:t>四、绩效评价指标分析</w:t>
      </w:r>
      <w:r>
        <w:rPr>
          <w:rStyle w:val="18"/>
          <w:rFonts w:hint="eastAsia" w:ascii="黑体" w:hAnsi="黑体" w:eastAsia="黑体"/>
          <w:color w:val="auto"/>
        </w:rPr>
        <w:t xml:space="preserve"> </w:t>
      </w:r>
    </w:p>
    <w:p w14:paraId="0532F582">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（一）</w:t>
      </w:r>
      <w:r>
        <w:rPr>
          <w:rStyle w:val="18"/>
          <w:rFonts w:hint="eastAsia" w:ascii="楷体" w:hAnsi="楷体" w:eastAsia="楷体"/>
          <w:color w:val="auto"/>
          <w:spacing w:val="-4"/>
          <w:sz w:val="32"/>
          <w:szCs w:val="32"/>
        </w:rPr>
        <w:t>项目决策情况</w:t>
      </w:r>
    </w:p>
    <w:p w14:paraId="42C1A914">
      <w:pPr>
        <w:tabs>
          <w:tab w:val="center" w:pos="4295"/>
        </w:tabs>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项目决策类指标由3个二级指标和6个三级指标构成，权重分21.00分，实际得分21.00分。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1.项目立项情况分析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（1）立项依据充分性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立项符合《关于组织开展全国政外网边界安全专项检查工作的通知》中:“为强化政务外网与互联网边界安全，做好建国70周年期间网络安全保障，需各电子政务外网管理单位开展自查工作、抓好整改落实，完善规范各级电子政务外网和互联网边界，确保电子政务外网安全运行”的内容，符合国家法律法规、自治区和地区行业发展规划和政策要求；本项目立项符合《昌吉州人民政府电子政务中心单位配置内设机构和人员编制规定》中“统筹全州电子政务外网建设工作”的职责范围，属于我单位履职所需；根据《财政资金直接支付申请书》，本项目资金性质为“公共财政预算”；功能分类为“其他政府办公厅（室）及相关机构事务支出”；经济分类为“信息网络及软件购置更新”；属于公共财政支持范围，符合中央、地方事权支出责任划分原则；经检查我单位财政应用平台指标，本项目不存在重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综上所述，本指标满分为5.00分，根据评分标准得5.00分，本项目立项依据充分。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（2）立项程序规范性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本项目为非基础建设类项目，属于专项资金安排项目，不涉及事前绩效评估、可行性研究以及风险评估，由我单位严格按照《关于组织开展全国政外网边界安全专项检查工作的通知》文件精神要求实施项目。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综上所述，本指标满分为3.00分，根据评分标准得3.00分，本项目立项程序规范。</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2.绩效目标情况分析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（1）绩效目标合理性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已设置年度绩效目标，具体内容为“完成电子政务外网和互联网强逻辑隔离建设，原有国际算法认证系统变更为国密算法认证系统，确保电子政务外网边界安全、符合国家区州相关业务建设标准要求。系统改造数量1个，保障人员2名，验收合格率超过90%，系统故障率小于10%，系统故障修复处理时间不超过1天，2小时内响应系统运行维护，硬件设施及软件系统购置不超过900万元，预算成本控制率不超过99.8%，最终实现昌吉州政务云网络与信息安全有效保障”；本项目实际工作内容为：完成电子政务外网和互联网强逻辑隔离建设，原有国际算法认证系统变更为国密算法认证系统，确保电子政务外网边界安全、符合国家区州相关业务建设标准要求。系统改造数量1个，保障人员2名；绩效目标与实际工作内容一致，两者具有相关性;本项目按照绩效目标完成了数量指标、质量指标、时效指标、成本指标，有效保障了昌吉州政务云网络与信息安全，年度绩效目标完成，预期产出效益和效果符合正常的业绩水平。</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综上所述，本指标满分为4.00分，根据评分标准得4.00分，本项目绩效目标设置合理。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（2）绩效指标明确性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检查我单位年初设置的《项目支出绩效目标表》，得出如下结论：本项目已将年度绩效目标进行细化为绩效指标体系，共设置一级指标3个，二级指标5个，三级指标9个，定量指标9个，定性指标0个，指标量化率为100.00%，量化率达70.00%以上。</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综上所述，本指标满分为3.00分，根据评分标准得3.00分，本项目所设置绩效指标明确。</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3.资金投入情况分析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（1）预算编制科学性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本项目预算编制通过市场询价得出，即预算编制较科学且经过论证；</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申请内容为电子政务外网、互联网高强度安全隔离和国密算法认证及辅助设备改造项目，项目实际内容为电子政务外网、互联网高强度安全隔离和国密算法认证及辅助设备改造项目，预算申请与《电子政务外网、互联网高强度安全隔离和国密算法认证及辅助设备改造项目实施方案》中涉及的项目内容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申请资金900.00万元，我单位在预算申请中严格按照单位标准和数量进行核算，其中：信息系统升级改造数为1套，单价为900.00万元。本项目预算额度测算依据充分，严格按照标准编制，预算确定资金量与实际工作任务相匹配；</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综上所述，本指标满分为4.00分，根据评分标准4.00分，本项目预算编制科学。</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（2）资金分配合理性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实际分配资金以《关于申请电子政务外网、互联网高强度安全隔离和国密算法认证及辅助设备改造项目资金的请示》和《电子政务外网、互联网高强度安全隔离和国密算法认证及辅助设备改造项目实施方案》为依据进行资金分配，预算资金分配依据充分。根据（昌州财经办〔2023〕1号）文件显示，本项目实际到位资金900.00万元，实际分配资金与我单位提交申请的资金额度一致，资金分配额度合理，与我单位实际需求相适应。</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综上所述，本指标满分为2.00分，根据评分标准得2.00分，本项目资金分配合理。</w:t>
      </w:r>
      <w:r>
        <w:rPr>
          <w:rStyle w:val="18"/>
          <w:rFonts w:hint="eastAsia" w:ascii="楷体" w:hAnsi="楷体" w:eastAsia="楷体"/>
          <w:b w:val="0"/>
          <w:bCs w:val="0"/>
          <w:color w:val="auto"/>
          <w:spacing w:val="-4"/>
          <w:sz w:val="32"/>
          <w:szCs w:val="32"/>
        </w:rPr>
        <w:tab/>
      </w:r>
    </w:p>
    <w:p w14:paraId="30C8873A">
      <w:pPr>
        <w:spacing w:line="540" w:lineRule="exact"/>
        <w:ind w:firstLine="567" w:firstLineChars="181"/>
        <w:rPr>
          <w:rStyle w:val="18"/>
          <w:rFonts w:ascii="楷体" w:hAnsi="楷体" w:eastAsia="楷体"/>
          <w:color w:val="auto"/>
          <w:spacing w:val="-4"/>
          <w:sz w:val="32"/>
          <w:szCs w:val="32"/>
        </w:rPr>
      </w:pPr>
      <w:r>
        <w:rPr>
          <w:rFonts w:hint="eastAsia" w:ascii="楷体" w:hAnsi="楷体" w:eastAsia="楷体"/>
          <w:b/>
          <w:color w:val="auto"/>
          <w:spacing w:val="-4"/>
          <w:sz w:val="32"/>
          <w:szCs w:val="32"/>
        </w:rPr>
        <w:t>（二）</w:t>
      </w:r>
      <w:r>
        <w:rPr>
          <w:rStyle w:val="18"/>
          <w:rFonts w:hint="eastAsia" w:ascii="楷体" w:hAnsi="楷体" w:eastAsia="楷体"/>
          <w:color w:val="auto"/>
          <w:spacing w:val="-4"/>
          <w:sz w:val="32"/>
          <w:szCs w:val="32"/>
        </w:rPr>
        <w:t>项目过程情况</w:t>
      </w:r>
    </w:p>
    <w:p w14:paraId="4FD6379F">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项目过程管理类指标由2个二级指标和5个三级指标构成，权重分19.00分，实际得分19.00分。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1.资金管理情况分析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（1）资金到位率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预算资金为900.00万元，其中：本级财政安排资金900.00万元，其他资金0.00万元，实际到位资金900.00万元，资金到位率=（实际到位资金/预算资金）×100.00%=（900.00/900.00）*100.00%=100.00%。得分=资金到位率*分值=100.00%*4.00=4.00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综上所述，本指标满分为4.00分，根据评分标准得4.00分，本项目资金分配合理。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（2）预算执行率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本项目实际支出资金900.00万元，预算执行率=（实际支出资金/实际到位资金）×100.00%=（900/900）*100.00%=100.00%。得分=预算执行率*分值=100.00%*5.00=5.00分。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综上所述，本指标满分为5.00分，根据评分标准得5.00分，本项目资金分配合理。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（3）资金使用合规性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通过检查本项目签订的合同、资金申请文件、发票等财务付款凭证，得出本项目资金支出符合国家财经法规、《政府会计制度》以及《昌吉州人民政府电子政务中心单位资金管理办法》《电子政务外网、互联网高强度安全隔离和国密算法认证及辅助设备改造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综上所述，本指标满分为4.00分，根据评分标准得4.00分，资金支出符合我单位财务管理制度规定。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2.组织实施情况分析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（1）管理制度健全性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我单位已制定《州人民政府电子政务中心资金管理办法》《州人民政府电子政务中心收支业务管理制度》《州人民政府电子政务中心采购业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综上所述，本指标满分为2.00分，根据评分标准得2.00分，项目制度建设健全。</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（2）制度执行有效性</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电子政务外网、互联网高强度安全隔离和国密算法认证及辅助设备改造项目项目工作领导小组，由党组书记田涛任组长，负责项目的组织工作；史建龙任副组长，负责项目的实施工作；组员包括：马子昂和丁浩博，主要负责项目监督管理、验收以及资金核拨等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综上所述，本指标满分为4.00分，根据评分标准得4.00分，本项目所建立制度执行有效。</w:t>
      </w:r>
    </w:p>
    <w:p w14:paraId="241BB22F">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（三）</w:t>
      </w:r>
      <w:r>
        <w:rPr>
          <w:rStyle w:val="18"/>
          <w:rFonts w:hint="eastAsia" w:ascii="楷体" w:hAnsi="楷体" w:eastAsia="楷体"/>
          <w:color w:val="auto"/>
          <w:spacing w:val="-4"/>
          <w:sz w:val="32"/>
          <w:szCs w:val="32"/>
        </w:rPr>
        <w:t>项目产出情况</w:t>
      </w:r>
    </w:p>
    <w:p w14:paraId="5BE4A28E">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项目产出类指标由4个二级指标和8个三级指标构成，权重分30.00分，实际得分30.00分。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1.数量指标完成情况分析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“信息系统升级改造数”指标：预期指标值为“大于等于1个”，实际完成指标值为“1个”，指标完成率为100.00%。综上所述，本指标满分为4分，根据评分标准得4分。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“保障人员数”指标，预期指标值为“大于等于2人”，实际完成指标值为“2人”，指标完成率为100.00%。综上所述，本指标满分为2分，根据评分标准得2分。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2.质量指标完成情况分析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“项目验收合格率”指标：预期指标值为“大于等于90.00%”，实际完成指标值为“100.00%”，指标完成率为100.00%。综上所述，本指标满分为2分，根据评分标准得2分。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“系统故障率”指标：预期指标值为“小于等于10.00%”，实际完成指标值为“1.00%”，指标完成率为100.00%。综上所述，本指标满分为4分，根据评分标准得4分。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3.时效指标完成情况分析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“系统故障修复处理时间”指标：预期指标值为“小于等于1天”，实际完成指标值为“1天”，指标完成率为100.00%。综上所述，本指标满分为4分，根据评分标准得4分。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“系统运行维护响应时间”指标：预期指标值为“小于等于2小时”，实际完成指标值为“等于2小时”，指标完成率为100.00%。综上所述，本指标满分为4分，根据评分标准得4分。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4.成本指标完成情况分析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“硬件设施及软件系统购置”指标：预期指标值为“小于等于900.00万元”，实际完成指标值为“900.00万元”，指标完成率为100.00%。综上所述，本指标满分为5分，根据评分标准得5分。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“预算成本控制率”指标：预期指标值为“小于等于99.80%”，实际完成指标值为“99.80%”，指标完成率为100.00%。综上所述，本指标满分为5分，根据评分标准得5分。</w:t>
      </w:r>
    </w:p>
    <w:p w14:paraId="239BDC0D">
      <w:pPr>
        <w:spacing w:line="540" w:lineRule="exact"/>
        <w:ind w:firstLine="567" w:firstLineChars="181"/>
        <w:rPr>
          <w:rFonts w:ascii="楷体" w:hAnsi="楷体" w:eastAsia="楷体"/>
          <w:b/>
          <w:color w:val="auto"/>
          <w:spacing w:val="-4"/>
          <w:sz w:val="32"/>
          <w:szCs w:val="32"/>
        </w:rPr>
      </w:pPr>
      <w:r>
        <w:rPr>
          <w:rFonts w:hint="eastAsia" w:ascii="楷体" w:hAnsi="楷体" w:eastAsia="楷体"/>
          <w:b/>
          <w:color w:val="auto"/>
          <w:spacing w:val="-4"/>
          <w:sz w:val="32"/>
          <w:szCs w:val="32"/>
        </w:rPr>
        <w:t>（四）</w:t>
      </w:r>
      <w:r>
        <w:rPr>
          <w:rStyle w:val="18"/>
          <w:rFonts w:hint="eastAsia" w:ascii="楷体" w:hAnsi="楷体" w:eastAsia="楷体"/>
          <w:color w:val="auto"/>
          <w:spacing w:val="-4"/>
          <w:sz w:val="32"/>
          <w:szCs w:val="32"/>
        </w:rPr>
        <w:t>项目效益情况</w:t>
      </w:r>
    </w:p>
    <w:p w14:paraId="3BFF7FCB">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项目效益类指标由1个二级指标和1个三级指标构成，权重分30.00分，实际得分30.00分。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1.经济效益完成情况分析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2.社会效益完成情况分析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“昌吉州政务云网络与信息安全有效保障”指标：预期指标值为“大于等于90.00%”，实际完成指标值为“100.00”，指标完成率为100.00%。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综上所述，本指标满分为30.00分，根据评分标准得30.00分。</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3.生态效益完成情况分析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4.满意度完成情况分析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本项目无该指标。</w:t>
      </w:r>
    </w:p>
    <w:p w14:paraId="17184DC2">
      <w:pPr>
        <w:spacing w:line="540" w:lineRule="exact"/>
        <w:ind w:firstLine="567"/>
        <w:rPr>
          <w:rStyle w:val="18"/>
          <w:rFonts w:ascii="楷体" w:hAnsi="楷体" w:eastAsia="楷体"/>
          <w:color w:val="auto"/>
          <w:spacing w:val="-4"/>
          <w:sz w:val="32"/>
          <w:szCs w:val="32"/>
        </w:rPr>
      </w:pPr>
    </w:p>
    <w:p w14:paraId="683403CF">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预算执行进度与绩效指标偏差</w:t>
      </w:r>
    </w:p>
    <w:p w14:paraId="5BBD1D65">
      <w:pPr>
        <w:spacing w:line="540" w:lineRule="exact"/>
        <w:ind w:firstLine="567"/>
        <w:rPr>
          <w:rStyle w:val="18"/>
          <w:rFonts w:hint="default" w:ascii="黑体" w:hAnsi="黑体" w:eastAsia="黑体"/>
          <w:b w:val="0"/>
          <w:color w:val="auto"/>
          <w:spacing w:val="-4"/>
          <w:sz w:val="32"/>
          <w:szCs w:val="32"/>
          <w:lang w:val="en-US" w:eastAsia="zh-CN"/>
        </w:rPr>
      </w:pPr>
      <w:r>
        <w:rPr>
          <w:rStyle w:val="18"/>
          <w:rFonts w:hint="eastAsia" w:ascii="楷体" w:hAnsi="楷体" w:eastAsia="楷体"/>
          <w:b w:val="0"/>
          <w:bCs w:val="0"/>
          <w:color w:val="auto"/>
          <w:spacing w:val="-4"/>
          <w:sz w:val="32"/>
          <w:szCs w:val="32"/>
        </w:rPr>
        <w:t>本项目年初预算资金总额为900.00万元，全年预算数为900.00万元，全年执行数为900.00万元，预算执行率为100.00%。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本项目共设置三级指标数量20个，满分指标数量20个，扣分指标数量0个，经分析计算所有三级指标完成率得出，本项目总体完成率为100.00%。</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综上所述本项目预算执行进度与总体完成进度之间的偏差为0.00%。项目预算执行进度与绩效指标完成进度无偏差。</w:t>
      </w:r>
    </w:p>
    <w:p w14:paraId="7168C108">
      <w:pPr>
        <w:numPr>
          <w:ilvl w:val="0"/>
          <w:numId w:val="1"/>
        </w:numPr>
        <w:spacing w:line="540" w:lineRule="exact"/>
        <w:ind w:firstLine="640"/>
        <w:rPr>
          <w:rStyle w:val="18"/>
          <w:rFonts w:hint="eastAsia" w:ascii="黑体" w:hAnsi="黑体" w:eastAsia="黑体"/>
          <w:b w:val="0"/>
          <w:color w:val="auto"/>
          <w:spacing w:val="-4"/>
          <w:sz w:val="32"/>
          <w:szCs w:val="32"/>
        </w:rPr>
      </w:pPr>
      <w:r>
        <w:rPr>
          <w:rStyle w:val="18"/>
          <w:rFonts w:hint="eastAsia" w:ascii="黑体" w:hAnsi="黑体" w:eastAsia="黑体"/>
          <w:b w:val="0"/>
          <w:color w:val="auto"/>
          <w:spacing w:val="-4"/>
          <w:sz w:val="32"/>
          <w:szCs w:val="32"/>
        </w:rPr>
        <w:t>主要经验及做法、存在的问题及原因分析</w:t>
      </w:r>
    </w:p>
    <w:p w14:paraId="0D70C2F3">
      <w:pPr>
        <w:spacing w:line="540" w:lineRule="exact"/>
        <w:ind w:firstLine="567"/>
        <w:rPr>
          <w:rFonts w:ascii="仿宋_GB2312" w:eastAsia="仿宋_GB2312"/>
          <w:color w:val="auto"/>
          <w:spacing w:val="-4"/>
          <w:sz w:val="32"/>
          <w:szCs w:val="32"/>
        </w:rPr>
      </w:pPr>
      <w:r>
        <w:rPr>
          <w:rStyle w:val="18"/>
          <w:rFonts w:hint="eastAsia" w:ascii="楷体" w:hAnsi="楷体" w:eastAsia="楷体"/>
          <w:b w:val="0"/>
          <w:bCs w:val="0"/>
          <w:color w:val="auto"/>
          <w:spacing w:val="-4"/>
          <w:sz w:val="32"/>
          <w:szCs w:val="32"/>
        </w:rPr>
        <w:t>（一）主要经验及做法</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昌吉州人民政府电子政务中心强化支出责任，提高资金使用效益，对项目支出开展绩效评价，践行“花钱必问效，无效必问责”。我单位严格履行“三重一大”报备制度，2023年度我单位由业务科室做出项目预算明细，上报中心班子会议进行研究，经研究通过后报州政府办公室党组研究决定后实施。为做好年度绩效评价工作，规范和加强专项资金管理，切实提高资金使用的绩效和管理水平。按照规定的工作程序组织绩效评价自评，注重评价质量，撰写绩效评价报告，对评价结果进行整改，充分运用分析评价改进单位工作。</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（二）存在的问题及原因分析</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一是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对档案工作重视程度不高，意识淡薄。单位人员对绩效档案管理工作重视程度不够，不注重关键时间节点材料的鉴定归档，造成绩效管理工作档案缺失。</w:t>
      </w:r>
    </w:p>
    <w:p w14:paraId="322219D5">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七</w:t>
      </w:r>
      <w:r>
        <w:rPr>
          <w:rStyle w:val="18"/>
          <w:rFonts w:hint="eastAsia" w:ascii="黑体" w:hAnsi="黑体" w:eastAsia="黑体"/>
          <w:b w:val="0"/>
          <w:color w:val="auto"/>
          <w:spacing w:val="-4"/>
          <w:sz w:val="32"/>
          <w:szCs w:val="32"/>
        </w:rPr>
        <w:t>、有关建议</w:t>
      </w:r>
    </w:p>
    <w:p w14:paraId="6370DB63">
      <w:pPr>
        <w:spacing w:line="540" w:lineRule="exact"/>
        <w:ind w:firstLine="567"/>
        <w:rPr>
          <w:rStyle w:val="18"/>
          <w:rFonts w:ascii="楷体" w:hAnsi="楷体" w:eastAsia="楷体"/>
          <w:color w:val="auto"/>
          <w:spacing w:val="-4"/>
          <w:sz w:val="32"/>
          <w:szCs w:val="32"/>
        </w:rPr>
      </w:pPr>
      <w:r>
        <w:rPr>
          <w:rStyle w:val="18"/>
          <w:rFonts w:hint="eastAsia" w:ascii="楷体" w:hAnsi="楷体" w:eastAsia="楷体"/>
          <w:b w:val="0"/>
          <w:bCs w:val="0"/>
          <w:color w:val="auto"/>
          <w:spacing w:val="-4"/>
          <w:sz w:val="32"/>
          <w:szCs w:val="32"/>
        </w:rPr>
        <w:t>一是加强培训，提高相关人员工作水平。采取多种培训形式对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三是高度重视，加强领导。精心组织，健全项目绩效领导小组并对绩效评价工作进行指导、监督、检查，确保项目绩效评价反映项目完成真实情况。</w:t>
      </w:r>
    </w:p>
    <w:p w14:paraId="657EE883">
      <w:pPr>
        <w:spacing w:line="540" w:lineRule="exact"/>
        <w:ind w:firstLine="64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lang w:val="en-US" w:eastAsia="zh-CN"/>
        </w:rPr>
        <w:t>八</w:t>
      </w:r>
      <w:r>
        <w:rPr>
          <w:rStyle w:val="18"/>
          <w:rFonts w:hint="eastAsia" w:ascii="黑体" w:hAnsi="黑体" w:eastAsia="黑体"/>
          <w:b w:val="0"/>
          <w:color w:val="auto"/>
          <w:spacing w:val="-4"/>
          <w:sz w:val="32"/>
          <w:szCs w:val="32"/>
        </w:rPr>
        <w:t>、其他需要说明的问题</w:t>
      </w:r>
    </w:p>
    <w:p w14:paraId="00CE9C58">
      <w:pPr>
        <w:spacing w:line="540" w:lineRule="exact"/>
        <w:ind w:firstLine="567"/>
        <w:rPr>
          <w:rStyle w:val="18"/>
          <w:rFonts w:ascii="楷体" w:hAnsi="楷体" w:eastAsia="楷体"/>
          <w:b w:val="0"/>
          <w:bCs w:val="0"/>
          <w:color w:val="auto"/>
          <w:spacing w:val="-4"/>
          <w:sz w:val="32"/>
          <w:szCs w:val="32"/>
        </w:rPr>
      </w:pPr>
      <w:r>
        <w:rPr>
          <w:rStyle w:val="18"/>
          <w:rFonts w:hint="eastAsia" w:ascii="楷体" w:hAnsi="楷体" w:eastAsia="楷体"/>
          <w:b w:val="0"/>
          <w:bCs w:val="0"/>
          <w:color w:val="auto"/>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color w:val="auto"/>
          <w:spacing w:val="-4"/>
          <w:sz w:val="32"/>
          <w:szCs w:val="32"/>
        </w:rPr>
        <w:cr/>
      </w:r>
      <w:r>
        <w:rPr>
          <w:rStyle w:val="18"/>
          <w:rFonts w:hint="eastAsia" w:ascii="楷体" w:hAnsi="楷体" w:eastAsia="楷体"/>
          <w:b w:val="0"/>
          <w:bCs w:val="0"/>
          <w:color w:val="auto"/>
          <w:spacing w:val="-4"/>
          <w:sz w:val="32"/>
          <w:szCs w:val="32"/>
        </w:rPr>
        <w:br w:type="textWrapping"/>
      </w:r>
      <w:r>
        <w:rPr>
          <w:rStyle w:val="18"/>
          <w:rFonts w:hint="eastAsia" w:ascii="楷体" w:hAnsi="楷体" w:eastAsia="楷体"/>
          <w:b w:val="0"/>
          <w:bCs w:val="0"/>
          <w:color w:val="auto"/>
          <w:spacing w:val="-4"/>
          <w:sz w:val="32"/>
          <w:szCs w:val="32"/>
        </w:rPr>
        <w:t>（四）我单位对上述项目支出绩效评价报告内反映内容的真实性、完整性负责，接受上级部门及社会公众监督。</w:t>
      </w:r>
    </w:p>
    <w:p w14:paraId="11907359">
      <w:pPr>
        <w:spacing w:line="540" w:lineRule="exact"/>
        <w:ind w:firstLine="567"/>
        <w:rPr>
          <w:rStyle w:val="18"/>
          <w:rFonts w:ascii="仿宋" w:hAnsi="仿宋" w:eastAsia="仿宋"/>
          <w:b w:val="0"/>
          <w:color w:val="auto"/>
          <w:spacing w:val="-4"/>
          <w:sz w:val="32"/>
          <w:szCs w:val="32"/>
        </w:rPr>
      </w:pPr>
    </w:p>
    <w:p w14:paraId="193AFDB0">
      <w:pPr>
        <w:spacing w:line="540" w:lineRule="exact"/>
        <w:ind w:firstLine="567"/>
        <w:rPr>
          <w:rStyle w:val="18"/>
          <w:rFonts w:ascii="仿宋" w:hAnsi="仿宋" w:eastAsia="仿宋"/>
          <w:b w:val="0"/>
          <w:color w:val="auto"/>
          <w:spacing w:val="-4"/>
          <w:sz w:val="32"/>
          <w:szCs w:val="32"/>
        </w:rPr>
      </w:pPr>
    </w:p>
    <w:p w14:paraId="34A3D248">
      <w:pPr>
        <w:spacing w:line="540" w:lineRule="exact"/>
        <w:ind w:firstLine="567"/>
        <w:rPr>
          <w:rStyle w:val="18"/>
          <w:rFonts w:ascii="仿宋" w:hAnsi="仿宋" w:eastAsia="仿宋"/>
          <w:b w:val="0"/>
          <w:color w:val="auto"/>
          <w:spacing w:val="-4"/>
          <w:sz w:val="32"/>
          <w:szCs w:val="32"/>
        </w:rPr>
      </w:pPr>
    </w:p>
    <w:p w14:paraId="674AB551">
      <w:pPr>
        <w:spacing w:line="540" w:lineRule="exact"/>
        <w:ind w:firstLine="567"/>
        <w:rPr>
          <w:rStyle w:val="18"/>
          <w:rFonts w:ascii="仿宋" w:hAnsi="仿宋" w:eastAsia="仿宋"/>
          <w:b w:val="0"/>
          <w:color w:val="auto"/>
          <w:spacing w:val="-4"/>
          <w:sz w:val="32"/>
          <w:szCs w:val="32"/>
        </w:rPr>
      </w:pPr>
    </w:p>
    <w:p w14:paraId="12E77C14">
      <w:pPr>
        <w:spacing w:line="540" w:lineRule="exact"/>
        <w:ind w:firstLine="567"/>
        <w:rPr>
          <w:rStyle w:val="18"/>
          <w:rFonts w:ascii="仿宋" w:hAnsi="仿宋" w:eastAsia="仿宋"/>
          <w:b w:val="0"/>
          <w:color w:val="auto"/>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CB4D46-8960-4967-A943-315949CEFA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9399382-67A7-49C4-9D71-4A553E68679D}"/>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CC805610-C412-47E7-B85B-61EE1488BCD9}"/>
  </w:font>
  <w:font w:name="华文中宋">
    <w:panose1 w:val="02010600040101010101"/>
    <w:charset w:val="86"/>
    <w:family w:val="auto"/>
    <w:pitch w:val="default"/>
    <w:sig w:usb0="00000287" w:usb1="080F0000" w:usb2="00000000" w:usb3="00000000" w:csb0="0004009F" w:csb1="DFD70000"/>
    <w:embedRegular r:id="rId4" w:fontKey="{134B77D5-73F0-45AB-93B0-D9A4841ADF48}"/>
  </w:font>
  <w:font w:name="方正小标宋_GBK">
    <w:panose1 w:val="02000000000000000000"/>
    <w:charset w:val="86"/>
    <w:family w:val="script"/>
    <w:pitch w:val="default"/>
    <w:sig w:usb0="A00002BF" w:usb1="38CF7CFA" w:usb2="00082016" w:usb3="00000000" w:csb0="00040001" w:csb1="00000000"/>
    <w:embedRegular r:id="rId5" w:fontKey="{44A37BDA-4E21-41B9-9494-8626CB8009DD}"/>
  </w:font>
  <w:font w:name="仿宋_GB2312">
    <w:altName w:val="仿宋"/>
    <w:panose1 w:val="02010609030101010101"/>
    <w:charset w:val="86"/>
    <w:family w:val="modern"/>
    <w:pitch w:val="default"/>
    <w:sig w:usb0="00000000" w:usb1="00000000" w:usb2="00000000" w:usb3="00000000" w:csb0="00040000" w:csb1="00000000"/>
    <w:embedRegular r:id="rId6" w:fontKey="{6B100024-05BF-40AB-84A5-13D5E9079F69}"/>
  </w:font>
  <w:font w:name="楷体">
    <w:panose1 w:val="02010609060101010101"/>
    <w:charset w:val="86"/>
    <w:family w:val="modern"/>
    <w:pitch w:val="default"/>
    <w:sig w:usb0="800002BF" w:usb1="38CF7CFA" w:usb2="00000016" w:usb3="00000000" w:csb0="00040001" w:csb1="00000000"/>
    <w:embedRegular r:id="rId7" w:fontKey="{1451D5A7-05A8-4C62-BB4B-E2758C28EB7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369020A">
        <w:pPr>
          <w:pStyle w:val="12"/>
          <w:jc w:val="center"/>
        </w:pPr>
        <w:r>
          <w:fldChar w:fldCharType="begin"/>
        </w:r>
        <w:r>
          <w:instrText xml:space="preserve">PAGE   \* MERGEFORMAT</w:instrText>
        </w:r>
        <w:r>
          <w:fldChar w:fldCharType="separate"/>
        </w:r>
        <w:r>
          <w:rPr>
            <w:lang w:val="zh-CN"/>
          </w:rPr>
          <w:t>2</w:t>
        </w:r>
        <w:r>
          <w:fldChar w:fldCharType="end"/>
        </w:r>
      </w:p>
    </w:sdtContent>
  </w:sdt>
  <w:p w14:paraId="5259562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49878F9"/>
    <w:rsid w:val="15392994"/>
    <w:rsid w:val="18FE139B"/>
    <w:rsid w:val="3029612C"/>
    <w:rsid w:val="32A221C5"/>
    <w:rsid w:val="33F20F2A"/>
    <w:rsid w:val="34C44675"/>
    <w:rsid w:val="3B5B5607"/>
    <w:rsid w:val="3CE21B3C"/>
    <w:rsid w:val="3D5B156E"/>
    <w:rsid w:val="4D2606A1"/>
    <w:rsid w:val="51830480"/>
    <w:rsid w:val="53A616BE"/>
    <w:rsid w:val="54662BFB"/>
    <w:rsid w:val="5A5E3332"/>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1236</Words>
  <Characters>1327</Characters>
  <Lines>4</Lines>
  <Paragraphs>1</Paragraphs>
  <TotalTime>2</TotalTime>
  <ScaleCrop>false</ScaleCrop>
  <LinksUpToDate>false</LinksUpToDate>
  <CharactersWithSpaces>1340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2026-09-10T09:17:01Z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