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669C">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556FC75">
      <w:pPr>
        <w:spacing w:line="540" w:lineRule="exact"/>
        <w:jc w:val="center"/>
        <w:rPr>
          <w:rFonts w:ascii="华文中宋" w:hAnsi="华文中宋" w:eastAsia="华文中宋" w:cs="宋体"/>
          <w:b/>
          <w:kern w:val="0"/>
          <w:sz w:val="52"/>
          <w:szCs w:val="52"/>
        </w:rPr>
      </w:pPr>
    </w:p>
    <w:p w14:paraId="56A6F4C1">
      <w:pPr>
        <w:spacing w:line="540" w:lineRule="exact"/>
        <w:jc w:val="center"/>
        <w:rPr>
          <w:rFonts w:ascii="华文中宋" w:hAnsi="华文中宋" w:eastAsia="华文中宋" w:cs="宋体"/>
          <w:b/>
          <w:kern w:val="0"/>
          <w:sz w:val="52"/>
          <w:szCs w:val="52"/>
        </w:rPr>
      </w:pPr>
    </w:p>
    <w:p w14:paraId="45D5444C">
      <w:pPr>
        <w:spacing w:line="540" w:lineRule="exact"/>
        <w:jc w:val="center"/>
        <w:rPr>
          <w:rFonts w:ascii="华文中宋" w:hAnsi="华文中宋" w:eastAsia="华文中宋" w:cs="宋体"/>
          <w:b/>
          <w:kern w:val="0"/>
          <w:sz w:val="52"/>
          <w:szCs w:val="52"/>
        </w:rPr>
      </w:pPr>
    </w:p>
    <w:p w14:paraId="6C8193ED">
      <w:pPr>
        <w:spacing w:line="540" w:lineRule="exact"/>
        <w:jc w:val="center"/>
        <w:rPr>
          <w:rFonts w:ascii="华文中宋" w:hAnsi="华文中宋" w:eastAsia="华文中宋" w:cs="宋体"/>
          <w:b/>
          <w:kern w:val="0"/>
          <w:sz w:val="52"/>
          <w:szCs w:val="52"/>
        </w:rPr>
      </w:pPr>
    </w:p>
    <w:p w14:paraId="2C22DFF8">
      <w:pPr>
        <w:spacing w:line="540" w:lineRule="exact"/>
        <w:jc w:val="center"/>
        <w:rPr>
          <w:rFonts w:ascii="华文中宋" w:hAnsi="华文中宋" w:eastAsia="华文中宋" w:cs="宋体"/>
          <w:b/>
          <w:kern w:val="0"/>
          <w:sz w:val="52"/>
          <w:szCs w:val="52"/>
        </w:rPr>
      </w:pPr>
    </w:p>
    <w:p w14:paraId="79C5DED8">
      <w:pPr>
        <w:spacing w:line="540" w:lineRule="exact"/>
        <w:jc w:val="center"/>
        <w:rPr>
          <w:rFonts w:ascii="华文中宋" w:hAnsi="华文中宋" w:eastAsia="华文中宋" w:cs="宋体"/>
          <w:b/>
          <w:kern w:val="0"/>
          <w:sz w:val="52"/>
          <w:szCs w:val="52"/>
        </w:rPr>
      </w:pPr>
    </w:p>
    <w:p w14:paraId="1945EEE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F1BDFF5">
      <w:pPr>
        <w:spacing w:line="540" w:lineRule="exact"/>
        <w:jc w:val="center"/>
        <w:rPr>
          <w:rFonts w:ascii="华文中宋" w:hAnsi="华文中宋" w:eastAsia="华文中宋" w:cs="宋体"/>
          <w:b/>
          <w:kern w:val="0"/>
          <w:sz w:val="52"/>
          <w:szCs w:val="52"/>
        </w:rPr>
      </w:pPr>
    </w:p>
    <w:p w14:paraId="3EC6F23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4477273">
      <w:pPr>
        <w:spacing w:line="540" w:lineRule="exact"/>
        <w:jc w:val="center"/>
        <w:rPr>
          <w:rFonts w:hAnsi="宋体" w:eastAsia="仿宋_GB2312" w:cs="宋体"/>
          <w:kern w:val="0"/>
          <w:sz w:val="30"/>
          <w:szCs w:val="30"/>
        </w:rPr>
      </w:pPr>
    </w:p>
    <w:p w14:paraId="7E426306">
      <w:pPr>
        <w:spacing w:line="540" w:lineRule="exact"/>
        <w:jc w:val="center"/>
        <w:rPr>
          <w:rFonts w:hAnsi="宋体" w:eastAsia="仿宋_GB2312" w:cs="宋体"/>
          <w:kern w:val="0"/>
          <w:sz w:val="30"/>
          <w:szCs w:val="30"/>
        </w:rPr>
      </w:pPr>
    </w:p>
    <w:p w14:paraId="1F0EAFAA">
      <w:pPr>
        <w:spacing w:line="540" w:lineRule="exact"/>
        <w:jc w:val="center"/>
        <w:rPr>
          <w:rFonts w:hAnsi="宋体" w:eastAsia="仿宋_GB2312" w:cs="宋体"/>
          <w:kern w:val="0"/>
          <w:sz w:val="30"/>
          <w:szCs w:val="30"/>
        </w:rPr>
      </w:pPr>
    </w:p>
    <w:p w14:paraId="08BEC7BB">
      <w:pPr>
        <w:spacing w:line="540" w:lineRule="exact"/>
        <w:jc w:val="center"/>
        <w:rPr>
          <w:rFonts w:hAnsi="宋体" w:eastAsia="仿宋_GB2312" w:cs="宋体"/>
          <w:kern w:val="0"/>
          <w:sz w:val="30"/>
          <w:szCs w:val="30"/>
        </w:rPr>
      </w:pPr>
    </w:p>
    <w:p w14:paraId="2E2307E0">
      <w:pPr>
        <w:spacing w:line="540" w:lineRule="exact"/>
        <w:jc w:val="center"/>
        <w:rPr>
          <w:rFonts w:hAnsi="宋体" w:eastAsia="仿宋_GB2312" w:cs="宋体"/>
          <w:kern w:val="0"/>
          <w:sz w:val="30"/>
          <w:szCs w:val="30"/>
        </w:rPr>
      </w:pPr>
    </w:p>
    <w:p w14:paraId="7750A313">
      <w:pPr>
        <w:spacing w:line="540" w:lineRule="exact"/>
        <w:jc w:val="center"/>
        <w:rPr>
          <w:rFonts w:hAnsi="宋体" w:eastAsia="仿宋_GB2312" w:cs="宋体"/>
          <w:kern w:val="0"/>
          <w:sz w:val="30"/>
          <w:szCs w:val="30"/>
        </w:rPr>
      </w:pPr>
    </w:p>
    <w:p w14:paraId="4F8A9543">
      <w:pPr>
        <w:spacing w:line="540" w:lineRule="exact"/>
        <w:rPr>
          <w:rFonts w:hAnsi="宋体" w:eastAsia="仿宋_GB2312" w:cs="宋体"/>
          <w:kern w:val="0"/>
          <w:sz w:val="30"/>
          <w:szCs w:val="30"/>
        </w:rPr>
      </w:pPr>
    </w:p>
    <w:p w14:paraId="558AC7F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ED102B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机关后勤服务保障经费</w:t>
      </w:r>
    </w:p>
    <w:p w14:paraId="5419142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昌吉回族自治州政府机关后勤服务中心</w:t>
      </w:r>
    </w:p>
    <w:p w14:paraId="56AD042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昌吉回族自治州政府机关后勤服务中心</w:t>
      </w:r>
    </w:p>
    <w:p w14:paraId="6C579D0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俞晓凤</w:t>
      </w:r>
    </w:p>
    <w:p w14:paraId="65FC859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2024年03月14日</w:t>
      </w:r>
    </w:p>
    <w:p w14:paraId="624A0859">
      <w:pPr>
        <w:spacing w:line="700" w:lineRule="exact"/>
        <w:ind w:firstLine="708" w:firstLineChars="236"/>
        <w:jc w:val="left"/>
        <w:rPr>
          <w:rFonts w:hAnsi="宋体" w:eastAsia="仿宋_GB2312" w:cs="宋体"/>
          <w:kern w:val="0"/>
          <w:sz w:val="30"/>
          <w:szCs w:val="30"/>
        </w:rPr>
      </w:pPr>
    </w:p>
    <w:p w14:paraId="045C82BD">
      <w:pPr>
        <w:spacing w:line="540" w:lineRule="exact"/>
        <w:rPr>
          <w:rStyle w:val="18"/>
          <w:rFonts w:ascii="黑体" w:hAnsi="黑体" w:eastAsia="黑体"/>
          <w:b w:val="0"/>
          <w:spacing w:val="-4"/>
          <w:sz w:val="32"/>
          <w:szCs w:val="32"/>
        </w:rPr>
      </w:pPr>
    </w:p>
    <w:p w14:paraId="5843A9A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255B6F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71352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下达昌吉州本级预算单位2023年部门预算的通知》（昌州财行【2023】1号）、《自治区进一步规范机关和所属事业单位办公用房物业管理实施细则（试行）》、《新疆维吾尔自治区机关事务管理办法》文件要求，对项目实施背景进行分析昌吉后机关后勤服务中心以服务机关后勤事务为宗旨。为规范机关事务工作，保障机关正常运行，降低机关运行成本，建设节约型机关，现承担</w:t>
      </w:r>
      <w:r>
        <w:rPr>
          <w:rStyle w:val="18"/>
          <w:rFonts w:hint="eastAsia" w:ascii="楷体" w:hAnsi="楷体" w:eastAsia="楷体"/>
          <w:b w:val="0"/>
          <w:bCs w:val="0"/>
          <w:spacing w:val="-4"/>
          <w:sz w:val="32"/>
          <w:szCs w:val="32"/>
          <w:lang w:eastAsia="zh-CN"/>
        </w:rPr>
        <w:t>州委、州政府</w:t>
      </w:r>
      <w:r>
        <w:rPr>
          <w:rStyle w:val="18"/>
          <w:rFonts w:hint="eastAsia" w:ascii="楷体" w:hAnsi="楷体" w:eastAsia="楷体"/>
          <w:b w:val="0"/>
          <w:bCs w:val="0"/>
          <w:spacing w:val="-4"/>
          <w:sz w:val="32"/>
          <w:szCs w:val="32"/>
        </w:rPr>
        <w:t>、州纪委、州政务中心、州文化事业发展新区各项后勤保障服务工作，保障机关运行的经费管理、资产管理、服务管理和节约管理等各项事务。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（1）项目名称：机关后勤服务保障经费项目（以下简称“该项目”或“项目”）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我单位工作职责严格按照《自治区进一步规范机关和所属事业单位办公用房物业管理实施细则（试行）》的通知精神，由州机关后勤服务中心统一管理的综合楼办公区、州文化事业发展新区、政务中心物业管理运行经费按照部门、各单位使用面积进行分摊，由州机关后勤服务中心统一结算，并定期公布账目，入驻单位负责质量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实施主体：昌吉州机关后勤服务中心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实施情况：昌吉州机关后勤服务中心现承担</w:t>
      </w:r>
      <w:r>
        <w:rPr>
          <w:rStyle w:val="18"/>
          <w:rFonts w:hint="eastAsia" w:ascii="楷体" w:hAnsi="楷体" w:eastAsia="楷体"/>
          <w:b w:val="0"/>
          <w:bCs w:val="0"/>
          <w:spacing w:val="-4"/>
          <w:sz w:val="32"/>
          <w:szCs w:val="32"/>
          <w:lang w:eastAsia="zh-CN"/>
        </w:rPr>
        <w:t>州委、州政府</w:t>
      </w:r>
      <w:r>
        <w:rPr>
          <w:rStyle w:val="18"/>
          <w:rFonts w:hint="eastAsia" w:ascii="楷体" w:hAnsi="楷体" w:eastAsia="楷体"/>
          <w:b w:val="0"/>
          <w:bCs w:val="0"/>
          <w:spacing w:val="-4"/>
          <w:sz w:val="32"/>
          <w:szCs w:val="32"/>
        </w:rPr>
        <w:t>、州纪委、州政务中心、州文化事业发展新区各项后勤保障服务工作。项目分工主要为三个片区，文化新区、政务中心、党政综合片区， 文化新区由杨树华为主要负责人，孙文忠为成员组织实施。 政务中心由王通文为主要负责人，牛树远为成员组织实施。 党政综合片区由刘俊其为主要负责人，李俊为成员组织实施。完成保障后勤绿化养护面积70250.97平方米，保障办公人员数量60人，针对服务管理片区按月进行物业管理考核达标，实现达标考核率98%，及时完成机关单位各项后勤保障运转工作，处理应急维修事件及时率100%，机关后勤服务中心将不断提升服务理念，创新服务模式，持续提高机关后勤服务保障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1、负责州级机关“四套班子”办公楼、州政府综合办公楼和州政务中心大楼、文化新区大楼的内部环境卫生、庭院绿化、公用设施管理等工作及安保工作。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2、负责政府综合楼、党委综合楼、文化新区、政务中心大楼的水、电、暖气费用支付及设施的维修。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3、为机关干部职工食堂就餐、单身住宿服务，为机关交流挂职干部提供住宿就餐服务。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4、负责政务中心党政机关“四套班子”会议服务工作。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5、负责州党委干部周转房水电暖的维护维修，卫生保洁绿化、治安保卫。</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昌吉州机关后勤服务中心单位机构设置：无下属预算单位。昌吉州机关后勤服务中心单位人员总数46名，其中：在职15名，退休31名，离休0名。实有人员15人。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本项目预算安排总额为2254.00万元，资金来源为财政拨款，其中：财政资金2254.00万元，其他资金0.00万元，2023年实际收到预算资金2254.00万元，预算资金到位率为100%。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截至2023年12月31日，本项目实际支付资金1484.86万元，预算执行率65.88%。本项目资金主要用于支付运行费用822.33万元、后勤服务保障经费费用662.53万元。</w:t>
      </w:r>
    </w:p>
    <w:p w14:paraId="406AA07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CA4B9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本项目负责州级机关“四套班子”办公楼、州政府综合办公楼和州政务中心大楼、文化新区大楼的内部环境卫生、庭院绿化、公用设施管理等工作，保障后勤绿化养护面积70250.97平方米；保障办公人员数量60人 ，按时完成物业考核，提高后勤业务保障能力，保障机构正常运转。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“补贴企业数量”指标，预期指标值为“大于等于1家”；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“保障后勤绿化养护面积”指标，预期指标值为“大于等于70250.97平米”；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“物业管理考核达标率”指标，预期指标值为“大于等于90.00%”；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“保障机关后勤正常运转工作合格率”指标，预期指标值为“大于等于90.00%”；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“处理应急维修事件及时率”指标，预期指标值为“大于等于90.00%”；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“运行经费（后勤）”指标，预期指标值为“小于等于879.00万元”；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“后勤服务保障经费”指标，预期指标值为“小于等于1375.00万元”；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“提高后勤业务保障能力”指标，预期指标值为“提高”；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“服务对象满意度”指标，预期指标值为“大于等于90.00%”。</w:t>
      </w:r>
    </w:p>
    <w:p w14:paraId="4DD408B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5BB7A6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1EA3C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此次我单位根据《财政支出绩效评价管理暂行办法》（财预〔2020〕10号）文件要求实施评价工作，本次评价对象为后勤服务保障经费项目，评价核心为项目资金、项目产出、项目效益。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54C9CB1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622909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p>
    <w:p w14:paraId="1F98037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113C8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2024年3月11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俞晓凤（评价小组组长）：主要负责项目策划和监督，全面负责项目绩效评价办稿的最终质量，对评估人员出具的最终报告质量进行复核，确保评估结果的客观性；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刘俊其（评价小组组员）：主要负责资料的收集，取证、数据统计分析；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卢耀荣（评价小组组员）：主要负责主要负责项目报告的制定，指标的研判，数据分析及报告撰写。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2024年3月11日-3月15日，评价工作进入实施阶段。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州直单位工作人员。我们根据绩效评价目标和绩效指标体系，设计满意度调查问卷进行问卷调查，其中州直单位工作人员受益对象共选取样本25人，共发放问卷25份，最终收回25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2024年3月18-3月25日，评价小组撰写绩效评价报告，按照新疆维吾尔自治区财政绩效管理信息系统绩效评价模块中统一格式和文本框架撰写绩效评价报告并提交审核。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C62FE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4F81D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保障后勤绿化养护面积70250.97平方米，保障办公人员数量60人，针对服务管理片区按月进行物业管理考核达标，实现达标考核率98%，及时完成机关单位各项后勤保障运转工作，处理应急维修事件及时率100%，机关后勤服务中心将不断提升服务理念，创新服务模式，持续提高机关后勤服务保障能力。认真做好零星维修及采购工作。但在实施过程中也存在一些不足：在年度后勤保障规划工作中出现突发状况，在及时应对上存在一定滞后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19个，总体完成率为95.00%。最终评分结果：总分为98.29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过程管理类指标共设置5个，满分指标4个，得分率91.02%；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项目产出类指标共设置7个，满分指标7个，得分率100.0%；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项目效益类指标共设置2个，满分指标2个，得分率100.0%。</w:t>
      </w:r>
    </w:p>
    <w:p w14:paraId="6EDCE2F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65D8EE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966073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颁发的《机关事务管理条例》（国务院第〔208〕次）中：“加强机关事务管理，规范机关事务工作，保障机关正常运行，降低机关运行成本，建设节约型机关”；本项目立项符合《新疆维吾尔自治区机关事务管理办法》中：“规范机关事务工作，保障机关正常运行，降低机关运行成本，建设节约型机关”内容，符合行业发展规划和政策要求；本项目立项符合《昌吉州机关后勤服务中心单位配置内设机构和人员编制规定》中职责范围中的“负责州级机关“四套班子”办公楼、州政府综合办公楼和州政务中心大楼、文化新区大楼的内部环境卫生、庭院绿化、公用设施管理等工作及安保工作；负责政府综合楼、党委综合楼、文化新区、政务中心大楼的水、电、暖气费用支付及设施的维修。”，属于我单位履职所需；根据《财政资金直接支付申请书》，本项目资金性质为“公共财政预算”功能分类为“一般公共服务支出”经济分类为“31002办公设备购置、30299其他商品和服务支出、30227委托业务费、30227委托业务费、30226劳务费、30226劳务费、30213维修(护)费、30209物业管理费、30208取暖费、30206电费、30205水费、30201办公费、30206电费、30227委托业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负责州级机关“四套班子”办公楼、州政府综合办公楼和州政务中心大楼、文化新区大楼的内部环境卫生、庭院绿化、公用设施管理等工作及安保工作保障后勤绿化养护面积大于等于70250.97平方米；保障办公人员数量大于等于60人 提高后勤业务保障能力”；本项目实际工作内容为：完成州级机关“四套班子”办公楼、州政府综合办公楼和州政务中心大楼、文化新区大楼的内部环境卫生、庭院绿化、公用设施管理等工作及安保工作保障后勤绿化养护面积70250.97平方米；保障办公人员数量78人 ；绩效目标与实际工作内容一致，两者具有相关性;本项目按照绩效目标完成了数量指标、质量指标、时效指标、成本指标，有效保障了机关后勤服务保障能力，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以前年度预算对比和政府采购得出，其中以前年度预算对比主要是非政府采购支出的水、电、暖等固定支出，主要用于服务管理片区的办公大楼基本运行支出，根据以前年度支出数据进行加权平均测算；另一种政府采购主要涉及维修维护及物品采购，按照政府采购制度进行公开招标和询价，符合政府采购制度的内容和程序，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州政府综合办公楼和州政务中心大楼、文化新区大楼的内部环境卫生、庭院绿化、公用设施管理等工作及安保工作保障后勤绿化，保障大楼正常办公运行。项目实际内容为完成州级机关“四套班子”办公楼、州政府综合办公楼和州政务中心大楼、文化新区大楼的内部环境卫生、庭院绿化、公用设施管理等工作及安保工作保障后勤绿化养护面积70250.97平方米；保障办公人员数量78人，预算申请与年度工作计划及职责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2254.00万元，我单位在预算申请中严格按照单位标准和数量进行核算，其中：运行保障经费879.00万元，后勤保障经费1375.00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机关后勤服务保障经费项目资金的请示》为依据进行资金分配，预算资金分配依据充分。根据《财政预算批复资金下达文件》文件显示，本项目实际到位资金2254.00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772201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B4449E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项目过程管理类指标由2个二级指标和5个三级指标构成，权重分19.00分，实际得分17.29分。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2254.00万元，其中：本级财政安排资金2254.00万元，其他资金0.00万元，实际到位资金2254.00万元，资金到位率=（实际到位资金/预算资金）×100.00%=（2254/2254）*100.00%=100%。得分=资金到位率*分值=100%*4=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本项目实际支出资金1484.86万元，预算执行率=（实际支出资金/实际到位资金）×100.00%=（1484.86/2254）*100.00%=65.88%。得分=预算执行率*分值=65.88%*5=3.29分。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综上所述，本指标满分为5.00分，根据评分标准得3.29分，本项目资金分配合理。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州机关后勤服务中心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州机关后勤服务中心资金管理办法》《州机关后勤服务中心收支业务管理制度》《州机关后勤服务中心政府采购业务管理制度》《州机关后勤服务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机关后勤服务保障经费项目工作领导小组，由党组书记俞晓凤任组长，负责项目的组织工作；卢耀荣任副组长，负责项目的实施工作；组员包括：杨树华和王通文，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65BB10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394CD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（三）项目产出情况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项目产出类指标由4个二级指标和7个三级指标构成，权重分30.00分，实际得分30.00分。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“保障后勤绿化养护面积”指标，预期指标值为“70250.97平方米”，实际完成70250.97平方米，指标完成率100.00%。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综上所述，本指标满分为6.00分，根据评分标准得6.00分。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“保障办公人员数量”指标，预期指标值为“大于等于60人”，实际完成78人，指标完成率100.00%。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“物业考核达标率”指标，预期指标值为“90.00%”，实际完成98.00%，指标完成率100.00%。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“保障机关后勤正常运转合格率”指标，预期指标值为“90.00%”，实际完成100.00%，指标完成率100.00%。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“处理应急维修事件及时率”指标，预期指标值为“90.00%”，实际完成100.00%，指标完成率100.00%。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“运行经费成本”指标，预期指标值为“879.00万元”，实际完成822.33万元，指标完成率93.55%。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“后勤服务保障经费成本”指标，预期指标值为“1375.00万元”，实际完成662.53万元，指标完成率100.00%%.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w:t>
      </w:r>
    </w:p>
    <w:p w14:paraId="046D886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8F0EB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“提高后勤业务保障能力”指标，预期指标值为“逐步提高”，指标完成率100.00%。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“项目收益群众满意度”指标，预期指标值为“90.00%”，收益对象满意度满意度达97.00%。指标完成率100.00%。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综上所述，本指标满分为15.00分，根据评分标准得15.00分。</w:t>
      </w:r>
    </w:p>
    <w:p w14:paraId="308378DF">
      <w:pPr>
        <w:spacing w:line="540" w:lineRule="exact"/>
        <w:ind w:firstLine="567"/>
        <w:rPr>
          <w:rStyle w:val="18"/>
          <w:rFonts w:ascii="楷体" w:hAnsi="楷体" w:eastAsia="楷体"/>
          <w:spacing w:val="-4"/>
          <w:sz w:val="32"/>
          <w:szCs w:val="32"/>
        </w:rPr>
      </w:pPr>
    </w:p>
    <w:p w14:paraId="646368F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1B95530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本项目年初预算资金总额为2254.00万元，全年预算数为2254.00万元，全年执行数为1484.86万元，预算执行率为65.88%。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本项目共设置三级指标数量20个，满分指标数量19个，扣分指标数量1个，经分析计算所有三级指标完成率得出，本项目总体完成率为98.52%。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综上所述本项目预算执行进度与总体完成进度之间的偏差为32.64%。主要偏差原因是：项目成本指标根据工作计划编制，但是执行过程中预算执行受保障办公区域需维修和使用率影响，存在一定偏差。</w:t>
      </w:r>
    </w:p>
    <w:p w14:paraId="0695DCA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8B0237B">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统筹配置资源，降低机关运行成本。机关后勤服务中心加强服务管理片区项目经费支出管理，按季度申请保障经费，每周进行中心会议保障研究，提出费用支出计划，每月按时进行考核，考核合格予以支付，严格控制项目支付进度，统筹项目经费支出，坚持降低机关运行成本，杜绝不合理开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1.预算执行存在偏差需要进一步加强预算制定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单位对全面实施预算管理认识不够，精细化管控水平不高，单位内部预算管理工作力量薄弱，多数以财务人员牵头开展预算管理，工作推动机制不全，业务人员业务能力和素质还有待进一步提升。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2.预算编制水平有待提高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单位针对预算编制依赖于上一年度支出，对于下一年度市场物价变化、办公区域设备、物品维修保障预估不足，相关管理人员与经办人员按照经验管理，欠缺制度执行等问题。</w:t>
      </w:r>
    </w:p>
    <w:p w14:paraId="657F3E4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1F77C5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采取多种培训形式对单位财务人员、业务科室人员进行集中培训，进一步树牢预算编制与预算执行的相关的意识，提高本单位工作人员的预算管理能力和工作水平，为预算管理相关工作的顺利开展提供保障。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2.做好数据管理，提升预算编制精确性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留存好年度预算数据及执行偏差的原因，不断总结预算编制中存在的实际问题，在每周中心会议上进行解决，避免后期不断出现。二是加强管理人员与相关执行人员对于各种制度的学习，不断利用会议宣贯各项制度，对于经本人员更要遵循制度，执行制度，坚持无预算不开支原则。</w:t>
      </w:r>
    </w:p>
    <w:p w14:paraId="408D8E5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F721A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3E62EAD">
      <w:pPr>
        <w:spacing w:line="540" w:lineRule="exact"/>
        <w:ind w:firstLine="567"/>
        <w:rPr>
          <w:rStyle w:val="18"/>
          <w:rFonts w:ascii="仿宋" w:hAnsi="仿宋" w:eastAsia="仿宋"/>
          <w:b w:val="0"/>
          <w:spacing w:val="-4"/>
          <w:sz w:val="32"/>
          <w:szCs w:val="32"/>
        </w:rPr>
      </w:pPr>
    </w:p>
    <w:p w14:paraId="4FEF2F2E">
      <w:pPr>
        <w:spacing w:line="540" w:lineRule="exact"/>
        <w:ind w:firstLine="567"/>
        <w:rPr>
          <w:rStyle w:val="18"/>
          <w:rFonts w:ascii="仿宋" w:hAnsi="仿宋" w:eastAsia="仿宋"/>
          <w:b w:val="0"/>
          <w:spacing w:val="-4"/>
          <w:sz w:val="32"/>
          <w:szCs w:val="32"/>
        </w:rPr>
      </w:pPr>
    </w:p>
    <w:p w14:paraId="40162355">
      <w:pPr>
        <w:spacing w:line="540" w:lineRule="exact"/>
        <w:ind w:firstLine="567"/>
        <w:rPr>
          <w:rStyle w:val="18"/>
          <w:rFonts w:ascii="仿宋" w:hAnsi="仿宋" w:eastAsia="仿宋"/>
          <w:b w:val="0"/>
          <w:spacing w:val="-4"/>
          <w:sz w:val="32"/>
          <w:szCs w:val="32"/>
        </w:rPr>
      </w:pPr>
    </w:p>
    <w:p w14:paraId="5BD7611E">
      <w:pPr>
        <w:spacing w:line="540" w:lineRule="exact"/>
        <w:ind w:firstLine="567"/>
        <w:rPr>
          <w:rStyle w:val="18"/>
          <w:rFonts w:ascii="仿宋" w:hAnsi="仿宋" w:eastAsia="仿宋"/>
          <w:b w:val="0"/>
          <w:spacing w:val="-4"/>
          <w:sz w:val="32"/>
          <w:szCs w:val="32"/>
        </w:rPr>
      </w:pPr>
    </w:p>
    <w:p w14:paraId="7D77F413">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FA4C692-EAC1-4BFF-85FF-E256611EB1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D59C87D-C60F-4237-BA61-07E79D880697}"/>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1D84E383-9272-4197-8F27-F3FAAF09F0FB}"/>
  </w:font>
  <w:font w:name="华文中宋">
    <w:panose1 w:val="02010600040101010101"/>
    <w:charset w:val="86"/>
    <w:family w:val="auto"/>
    <w:pitch w:val="default"/>
    <w:sig w:usb0="00000287" w:usb1="080F0000" w:usb2="00000000" w:usb3="00000000" w:csb0="0004009F" w:csb1="DFD70000"/>
    <w:embedRegular r:id="rId4" w:fontKey="{368594C2-5C37-4290-8F87-428A2C5DAF1B}"/>
  </w:font>
  <w:font w:name="方正小标宋_GBK">
    <w:panose1 w:val="02000000000000000000"/>
    <w:charset w:val="86"/>
    <w:family w:val="script"/>
    <w:pitch w:val="default"/>
    <w:sig w:usb0="A00002BF" w:usb1="38CF7CFA" w:usb2="00082016" w:usb3="00000000" w:csb0="00040001" w:csb1="00000000"/>
    <w:embedRegular r:id="rId5" w:fontKey="{E832E2D1-F04A-4F85-962B-8D145DAEE594}"/>
  </w:font>
  <w:font w:name="仿宋_GB2312">
    <w:altName w:val="仿宋"/>
    <w:panose1 w:val="00000000000000000000"/>
    <w:charset w:val="86"/>
    <w:family w:val="modern"/>
    <w:pitch w:val="default"/>
    <w:sig w:usb0="00000000" w:usb1="00000000" w:usb2="00000010" w:usb3="00000000" w:csb0="00040000" w:csb1="00000000"/>
    <w:embedRegular r:id="rId6" w:fontKey="{66C30624-CFE6-4129-B9E0-FC2B730E32EC}"/>
  </w:font>
  <w:font w:name="楷体">
    <w:panose1 w:val="02010609060101010101"/>
    <w:charset w:val="86"/>
    <w:family w:val="modern"/>
    <w:pitch w:val="default"/>
    <w:sig w:usb0="800002BF" w:usb1="38CF7CFA" w:usb2="00000016" w:usb3="00000000" w:csb0="00040001" w:csb1="00000000"/>
    <w:embedRegular r:id="rId7" w:fontKey="{79F9D31A-A560-4A47-8487-EEC5C22212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20F5A50">
        <w:pPr>
          <w:pStyle w:val="12"/>
          <w:jc w:val="center"/>
        </w:pPr>
        <w:r>
          <w:fldChar w:fldCharType="begin"/>
        </w:r>
        <w:r>
          <w:instrText xml:space="preserve">PAGE   \* MERGEFORMAT</w:instrText>
        </w:r>
        <w:r>
          <w:fldChar w:fldCharType="separate"/>
        </w:r>
        <w:r>
          <w:rPr>
            <w:lang w:val="zh-CN"/>
          </w:rPr>
          <w:t>2</w:t>
        </w:r>
        <w:r>
          <w:fldChar w:fldCharType="end"/>
        </w:r>
      </w:p>
    </w:sdtContent>
  </w:sdt>
  <w:p w14:paraId="7A4E071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D7A6924"/>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9476</Words>
  <Characters>10308</Characters>
  <Lines>4</Lines>
  <Paragraphs>1</Paragraphs>
  <TotalTime>2</TotalTime>
  <ScaleCrop>false</ScaleCrop>
  <LinksUpToDate>false</LinksUpToDate>
  <CharactersWithSpaces>10343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2026-08-24T10:15:44Z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