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奇台县人民法院2024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29F92E7E">
      <w:r>
        <w:br w:type="page"/>
      </w:r>
    </w:p>
    <w:p w14:paraId="7DBED85C">
      <w:pPr>
        <w:spacing w:line="640" w:lineRule="exact"/>
        <w:jc w:val="center"/>
        <w:outlineLvl w:val="1"/>
      </w:pPr>
      <w:r>
        <w:rPr>
          <w:rFonts w:ascii="黑体" w:hAnsi="黑体" w:eastAsia="黑体"/>
          <w:sz w:val="32"/>
        </w:rPr>
        <w:t>第一部分 单位概况</w:t>
      </w:r>
    </w:p>
    <w:p w14:paraId="708EB76E">
      <w:pPr>
        <w:spacing w:line="640" w:lineRule="exact"/>
        <w:ind w:firstLine="640"/>
        <w:jc w:val="both"/>
        <w:outlineLvl w:val="2"/>
      </w:pPr>
      <w:r>
        <w:rPr>
          <w:rFonts w:ascii="黑体" w:hAnsi="黑体" w:eastAsia="黑体"/>
          <w:sz w:val="32"/>
        </w:rPr>
        <w:t>一、主要职能</w:t>
      </w:r>
    </w:p>
    <w:p w14:paraId="78847C6F">
      <w:pPr>
        <w:spacing w:line="580" w:lineRule="exact"/>
        <w:ind w:firstLine="640"/>
        <w:jc w:val="both"/>
        <w:rPr>
          <w:rFonts w:hint="eastAsia" w:eastAsia="仿宋_GB2312"/>
          <w:lang w:eastAsia="zh-CN"/>
        </w:rPr>
      </w:pPr>
      <w:r>
        <w:rPr>
          <w:rFonts w:ascii="仿宋_GB2312" w:hAnsi="仿宋_GB2312" w:eastAsia="仿宋_GB2312"/>
          <w:sz w:val="32"/>
        </w:rPr>
        <w:t>昌吉州奇台县人民法院是国家审判机关，对奇台县人民代表大会及其常务委员会负责并报告工作，接受昌吉回族自治州中级人民法院对审判工作的监督和业务指导。主要职责是</w:t>
      </w:r>
      <w:r>
        <w:rPr>
          <w:rFonts w:hint="eastAsia" w:ascii="仿宋_GB2312" w:hAnsi="仿宋_GB2312" w:eastAsia="仿宋_GB2312"/>
          <w:sz w:val="32"/>
          <w:lang w:eastAsia="zh-CN"/>
        </w:rPr>
        <w:t>：</w:t>
      </w:r>
    </w:p>
    <w:p w14:paraId="6D4DB7ED">
      <w:pPr>
        <w:spacing w:line="580" w:lineRule="exact"/>
        <w:ind w:firstLine="640"/>
        <w:jc w:val="both"/>
      </w:pPr>
      <w:r>
        <w:rPr>
          <w:rFonts w:ascii="仿宋_GB2312" w:hAnsi="仿宋_GB2312" w:eastAsia="仿宋_GB2312"/>
          <w:sz w:val="32"/>
        </w:rPr>
        <w:t>（1）依法审判法律规定由昌吉州奇台县人民法院管辖、上级人民法院指定管辖的刑事、民事、行政等一审案件。</w:t>
      </w:r>
    </w:p>
    <w:p w14:paraId="4C9CCA5B">
      <w:pPr>
        <w:spacing w:line="580" w:lineRule="exact"/>
        <w:ind w:firstLine="640"/>
        <w:jc w:val="both"/>
      </w:pPr>
      <w:r>
        <w:rPr>
          <w:rFonts w:ascii="仿宋_GB2312" w:hAnsi="仿宋_GB2312" w:eastAsia="仿宋_GB2312"/>
          <w:sz w:val="32"/>
        </w:rPr>
        <w:t>（2）审理上级人民法院指令再审的案件。</w:t>
      </w:r>
    </w:p>
    <w:p w14:paraId="4C3EFB28">
      <w:pPr>
        <w:spacing w:line="580" w:lineRule="exact"/>
        <w:ind w:firstLine="640"/>
        <w:jc w:val="both"/>
      </w:pPr>
      <w:r>
        <w:rPr>
          <w:rFonts w:ascii="仿宋_GB2312" w:hAnsi="仿宋_GB2312" w:eastAsia="仿宋_GB2312"/>
          <w:sz w:val="32"/>
        </w:rPr>
        <w:t>（3）审理人民检察院按照审判监督程序对本院已经生效的一审判决、裁定提出抗诉，昌吉回族自治州中级人民法院指令再审的案件。</w:t>
      </w:r>
    </w:p>
    <w:p w14:paraId="682379C2">
      <w:pPr>
        <w:spacing w:line="580" w:lineRule="exact"/>
        <w:ind w:firstLine="640"/>
        <w:jc w:val="both"/>
      </w:pPr>
      <w:r>
        <w:rPr>
          <w:rFonts w:ascii="仿宋_GB2312" w:hAnsi="仿宋_GB2312" w:eastAsia="仿宋_GB2312"/>
          <w:sz w:val="32"/>
        </w:rPr>
        <w:t>（4）依法行使司法执行权和司法决定权。</w:t>
      </w:r>
    </w:p>
    <w:p w14:paraId="5BB0197F">
      <w:pPr>
        <w:spacing w:line="580" w:lineRule="exact"/>
        <w:ind w:firstLine="640"/>
        <w:jc w:val="both"/>
      </w:pPr>
      <w:r>
        <w:rPr>
          <w:rFonts w:ascii="仿宋_GB2312" w:hAnsi="仿宋_GB2312" w:eastAsia="仿宋_GB2312"/>
          <w:sz w:val="32"/>
        </w:rPr>
        <w:t>（5）对地方性法规、规章等草案提出意见，研究拟订昌吉州奇台县人民法院工作规章制度；针对案件审理中发现的</w:t>
      </w:r>
      <w:r>
        <w:rPr>
          <w:rFonts w:hint="eastAsia" w:ascii="仿宋_GB2312" w:hAnsi="仿宋_GB2312" w:eastAsia="仿宋_GB2312"/>
          <w:sz w:val="32"/>
          <w:lang w:eastAsia="zh-CN"/>
        </w:rPr>
        <w:t>问题</w:t>
      </w:r>
      <w:r>
        <w:rPr>
          <w:rFonts w:ascii="仿宋_GB2312" w:hAnsi="仿宋_GB2312" w:eastAsia="仿宋_GB2312"/>
          <w:sz w:val="32"/>
        </w:rPr>
        <w:t>提出司法建议。</w:t>
      </w:r>
    </w:p>
    <w:p w14:paraId="1BFD0704">
      <w:pPr>
        <w:spacing w:line="580" w:lineRule="exact"/>
        <w:ind w:firstLine="640"/>
        <w:jc w:val="both"/>
      </w:pPr>
      <w:r>
        <w:rPr>
          <w:rFonts w:ascii="仿宋_GB2312" w:hAnsi="仿宋_GB2312" w:eastAsia="仿宋_GB2312"/>
          <w:sz w:val="32"/>
        </w:rPr>
        <w:t>（6）依法办理司法协助事项，办理外地法院的委托事项。</w:t>
      </w:r>
    </w:p>
    <w:p w14:paraId="19E960C0">
      <w:pPr>
        <w:spacing w:line="580" w:lineRule="exact"/>
        <w:ind w:firstLine="640"/>
        <w:jc w:val="both"/>
      </w:pPr>
      <w:r>
        <w:rPr>
          <w:rFonts w:ascii="仿宋_GB2312" w:hAnsi="仿宋_GB2312" w:eastAsia="仿宋_GB2312"/>
          <w:sz w:val="32"/>
        </w:rPr>
        <w:t>（7）在审判工作和司法活动中宣传法制，教育公民自觉遵守宪法、法律。</w:t>
      </w:r>
    </w:p>
    <w:p w14:paraId="7FC2A6F9">
      <w:pPr>
        <w:spacing w:line="580" w:lineRule="exact"/>
        <w:ind w:firstLine="640"/>
        <w:jc w:val="both"/>
      </w:pPr>
      <w:r>
        <w:rPr>
          <w:rFonts w:ascii="仿宋_GB2312" w:hAnsi="仿宋_GB2312" w:eastAsia="仿宋_GB2312"/>
          <w:sz w:val="32"/>
        </w:rPr>
        <w:t>（8）承办其他应当由昌吉州奇台县人民法院负责的工作。</w:t>
      </w:r>
    </w:p>
    <w:p w14:paraId="6AA5CA88">
      <w:pPr>
        <w:spacing w:line="640" w:lineRule="exact"/>
        <w:ind w:firstLine="640"/>
        <w:jc w:val="both"/>
        <w:outlineLvl w:val="2"/>
      </w:pPr>
      <w:r>
        <w:rPr>
          <w:rFonts w:ascii="黑体" w:hAnsi="黑体" w:eastAsia="黑体"/>
          <w:sz w:val="32"/>
        </w:rPr>
        <w:t>二、机构设置及人员情况</w:t>
      </w:r>
    </w:p>
    <w:p w14:paraId="4193F79C">
      <w:pPr>
        <w:spacing w:line="580" w:lineRule="exact"/>
        <w:ind w:firstLine="640"/>
        <w:jc w:val="both"/>
      </w:pPr>
      <w:r>
        <w:rPr>
          <w:rFonts w:ascii="仿宋_GB2312" w:hAnsi="仿宋_GB2312" w:eastAsia="仿宋_GB2312"/>
          <w:sz w:val="32"/>
        </w:rPr>
        <w:t>奇台县人民法院2024年度，实有人数116人，其中：在职人员85人，增加5人；离休人员0人，增加0人；退休人员31人,增加0人。</w:t>
      </w:r>
    </w:p>
    <w:p w14:paraId="51781736">
      <w:pPr>
        <w:spacing w:line="580" w:lineRule="exact"/>
        <w:ind w:firstLine="640"/>
        <w:jc w:val="both"/>
      </w:pPr>
      <w:r>
        <w:rPr>
          <w:rFonts w:ascii="仿宋_GB2312" w:hAnsi="仿宋_GB2312" w:eastAsia="仿宋_GB2312"/>
          <w:sz w:val="32"/>
        </w:rPr>
        <w:t>奇台县人民法院无下属预算单位，下设9个科室，分别是：综合办公室(司法警察大队)、政治部、审管办（研究室）、民事审判庭、刑事审判庭、立案庭、执行局、行政庭、老奇台法庭。</w:t>
      </w:r>
    </w:p>
    <w:p w14:paraId="154C9FC1">
      <w:r>
        <w:br w:type="page"/>
      </w:r>
    </w:p>
    <w:p w14:paraId="434249C5">
      <w:pPr>
        <w:spacing w:line="240" w:lineRule="auto"/>
        <w:jc w:val="center"/>
        <w:outlineLvl w:val="1"/>
      </w:pPr>
      <w:r>
        <w:rPr>
          <w:rFonts w:ascii="黑体" w:hAnsi="黑体" w:eastAsia="黑体"/>
          <w:sz w:val="32"/>
        </w:rPr>
        <w:t>第二部分 部门决算情况说明</w:t>
      </w:r>
    </w:p>
    <w:p w14:paraId="463D368A">
      <w:pPr>
        <w:spacing w:line="640" w:lineRule="exact"/>
        <w:ind w:firstLine="640"/>
        <w:jc w:val="both"/>
        <w:outlineLvl w:val="2"/>
      </w:pPr>
      <w:r>
        <w:rPr>
          <w:rFonts w:ascii="黑体" w:hAnsi="黑体" w:eastAsia="黑体"/>
          <w:sz w:val="32"/>
        </w:rPr>
        <w:t>一、收入支出决算总体情况说明</w:t>
      </w:r>
    </w:p>
    <w:p w14:paraId="7A066010">
      <w:pPr>
        <w:spacing w:line="580" w:lineRule="exact"/>
        <w:ind w:firstLine="640"/>
        <w:jc w:val="both"/>
      </w:pPr>
      <w:r>
        <w:rPr>
          <w:rFonts w:ascii="仿宋_GB2312" w:hAnsi="仿宋_GB2312" w:eastAsia="仿宋_GB2312"/>
          <w:b/>
          <w:sz w:val="32"/>
        </w:rPr>
        <w:t>2024年度收入总计2,655.73万元，</w:t>
      </w:r>
      <w:r>
        <w:rPr>
          <w:rFonts w:ascii="仿宋_GB2312" w:hAnsi="仿宋_GB2312" w:eastAsia="仿宋_GB2312"/>
          <w:b w:val="0"/>
          <w:sz w:val="32"/>
        </w:rPr>
        <w:t>其中：本年收入合计2,618.59万元，使用非财政拨款结余（含专用结余）0.00万元，年初结转和结余37.14万元。</w:t>
      </w:r>
    </w:p>
    <w:p w14:paraId="2AC4B1A7">
      <w:pPr>
        <w:spacing w:line="580" w:lineRule="exact"/>
        <w:ind w:firstLine="640"/>
        <w:jc w:val="both"/>
      </w:pPr>
      <w:r>
        <w:rPr>
          <w:rFonts w:ascii="仿宋_GB2312" w:hAnsi="仿宋_GB2312" w:eastAsia="仿宋_GB2312"/>
          <w:b/>
          <w:sz w:val="32"/>
        </w:rPr>
        <w:t>2024年度支出总计2,655.73万元，</w:t>
      </w:r>
      <w:r>
        <w:rPr>
          <w:rFonts w:ascii="仿宋_GB2312" w:hAnsi="仿宋_GB2312" w:eastAsia="仿宋_GB2312"/>
          <w:b w:val="0"/>
          <w:sz w:val="32"/>
        </w:rPr>
        <w:t>其中：本年支出合计2,581.66万元，结余分配0.00万元，年末结转和结余74.07万元。</w:t>
      </w:r>
    </w:p>
    <w:p w14:paraId="195B24DE">
      <w:pPr>
        <w:spacing w:line="580" w:lineRule="exact"/>
        <w:ind w:firstLine="640"/>
        <w:jc w:val="both"/>
      </w:pPr>
      <w:r>
        <w:rPr>
          <w:rFonts w:ascii="仿宋_GB2312" w:hAnsi="仿宋_GB2312" w:eastAsia="仿宋_GB2312"/>
          <w:b w:val="0"/>
          <w:sz w:val="32"/>
        </w:rPr>
        <w:t>收入支出总体与上年相比，减少387.19万元，下降12.72%，主要原因是：本年减少州本级保障化解欠款资金、业务费补助、智慧法庭建设等项目资金。</w:t>
      </w:r>
    </w:p>
    <w:p w14:paraId="4947F683">
      <w:pPr>
        <w:spacing w:line="640" w:lineRule="exact"/>
        <w:ind w:firstLine="640"/>
        <w:jc w:val="both"/>
        <w:outlineLvl w:val="2"/>
      </w:pPr>
      <w:r>
        <w:rPr>
          <w:rFonts w:ascii="黑体" w:hAnsi="黑体" w:eastAsia="黑体"/>
          <w:sz w:val="32"/>
        </w:rPr>
        <w:t>二、收入决算情况说明</w:t>
      </w:r>
    </w:p>
    <w:p w14:paraId="557F67EB">
      <w:pPr>
        <w:spacing w:line="580" w:lineRule="exact"/>
        <w:ind w:firstLine="640"/>
        <w:jc w:val="both"/>
      </w:pPr>
      <w:r>
        <w:rPr>
          <w:rFonts w:ascii="仿宋_GB2312" w:hAnsi="仿宋_GB2312" w:eastAsia="仿宋_GB2312"/>
          <w:b/>
          <w:sz w:val="32"/>
        </w:rPr>
        <w:t>本年收入2,618.59万元，</w:t>
      </w:r>
      <w:r>
        <w:rPr>
          <w:rFonts w:ascii="仿宋_GB2312" w:hAnsi="仿宋_GB2312" w:eastAsia="仿宋_GB2312"/>
          <w:b w:val="0"/>
          <w:sz w:val="32"/>
        </w:rPr>
        <w:t>其中：财政拨款收入2,535.55万元，占96.83%；上级补助收入0.00万元，占0.00%；事业收入0.00万元，占0.00%；经营收入0.00万元，占0.00%；附属单位上缴收入0.00万元，占0.00%；其他收入83.04万元，占3.17%。</w:t>
      </w:r>
    </w:p>
    <w:p w14:paraId="60BC90E5">
      <w:pPr>
        <w:spacing w:line="640" w:lineRule="exact"/>
        <w:ind w:firstLine="640"/>
        <w:jc w:val="both"/>
        <w:outlineLvl w:val="2"/>
      </w:pPr>
      <w:r>
        <w:rPr>
          <w:rFonts w:ascii="黑体" w:hAnsi="黑体" w:eastAsia="黑体"/>
          <w:sz w:val="32"/>
        </w:rPr>
        <w:t>三、支出决算情况说明</w:t>
      </w:r>
    </w:p>
    <w:p w14:paraId="55B6415C">
      <w:pPr>
        <w:spacing w:line="580" w:lineRule="exact"/>
        <w:ind w:firstLine="640"/>
        <w:jc w:val="both"/>
      </w:pPr>
      <w:r>
        <w:rPr>
          <w:rFonts w:ascii="仿宋_GB2312" w:hAnsi="仿宋_GB2312" w:eastAsia="仿宋_GB2312"/>
          <w:b/>
          <w:sz w:val="32"/>
        </w:rPr>
        <w:t>本年支出2,581.66万元，</w:t>
      </w:r>
      <w:r>
        <w:rPr>
          <w:rFonts w:ascii="仿宋_GB2312" w:hAnsi="仿宋_GB2312" w:eastAsia="仿宋_GB2312"/>
          <w:b w:val="0"/>
          <w:sz w:val="32"/>
        </w:rPr>
        <w:t>其中：基本支出2,080.15万元，占80.57%；项目支出501.51万元，占19.43%；上缴上级支出0.00万元，占0.00%；经营支出0.00万元，占0.00%；对附属单位补助支出0.00万元，占0.00%。</w:t>
      </w:r>
    </w:p>
    <w:p w14:paraId="4678ACAA">
      <w:pPr>
        <w:spacing w:line="640" w:lineRule="exact"/>
        <w:ind w:firstLine="640"/>
        <w:jc w:val="both"/>
        <w:outlineLvl w:val="2"/>
      </w:pPr>
      <w:r>
        <w:rPr>
          <w:rFonts w:ascii="黑体" w:hAnsi="黑体" w:eastAsia="黑体"/>
          <w:sz w:val="32"/>
        </w:rPr>
        <w:t>四、财政拨款收入支出决算总体情况说明</w:t>
      </w:r>
    </w:p>
    <w:p w14:paraId="710C0652">
      <w:pPr>
        <w:spacing w:line="580" w:lineRule="exact"/>
        <w:ind w:firstLine="640"/>
        <w:jc w:val="both"/>
      </w:pPr>
      <w:r>
        <w:rPr>
          <w:rFonts w:ascii="仿宋_GB2312" w:hAnsi="仿宋_GB2312" w:eastAsia="仿宋_GB2312"/>
          <w:b/>
          <w:sz w:val="32"/>
        </w:rPr>
        <w:t>2024年度财政拨款收入总计2,535.55万元，</w:t>
      </w:r>
      <w:r>
        <w:rPr>
          <w:rFonts w:ascii="仿宋_GB2312" w:hAnsi="仿宋_GB2312" w:eastAsia="仿宋_GB2312"/>
          <w:b w:val="0"/>
          <w:sz w:val="32"/>
        </w:rPr>
        <w:t>其中：年初财政拨款结转和结余0.00万元，本年财政拨款收入2,535.55万元。</w:t>
      </w:r>
      <w:r>
        <w:rPr>
          <w:rFonts w:ascii="仿宋_GB2312" w:hAnsi="仿宋_GB2312" w:eastAsia="仿宋_GB2312"/>
          <w:b/>
          <w:sz w:val="32"/>
        </w:rPr>
        <w:t>财政拨款支出总计2,535.55万元，</w:t>
      </w:r>
      <w:r>
        <w:rPr>
          <w:rFonts w:ascii="仿宋_GB2312" w:hAnsi="仿宋_GB2312" w:eastAsia="仿宋_GB2312"/>
          <w:b w:val="0"/>
          <w:sz w:val="32"/>
        </w:rPr>
        <w:t>其中：年末财政拨款结转和结余0.00万元，本年财政拨款支出2,535.55万元。</w:t>
      </w:r>
    </w:p>
    <w:p w14:paraId="535F173A">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减少415.92万元，下降14.09%，主要原因是：本年减少化解欠款资金、业务费补助、智慧法庭建设、诉讼服务大厅自助设备等项目。</w:t>
      </w:r>
      <w:r>
        <w:rPr>
          <w:rFonts w:ascii="仿宋_GB2312" w:hAnsi="仿宋_GB2312" w:eastAsia="仿宋_GB2312"/>
          <w:b/>
          <w:sz w:val="32"/>
        </w:rPr>
        <w:t>与年初预算相比，</w:t>
      </w:r>
      <w:r>
        <w:rPr>
          <w:rFonts w:ascii="仿宋_GB2312" w:hAnsi="仿宋_GB2312" w:eastAsia="仿宋_GB2312"/>
          <w:b w:val="0"/>
          <w:sz w:val="32"/>
        </w:rPr>
        <w:t>年初预算数2,382.45万元，决算数2,535.55万元，预决算差异率6.43%，主要原因是：本年在职人员增加，年中追加人员经费及人员工资、社保、公积金基数调增部分资金，导致预决算存在差异。</w:t>
      </w:r>
    </w:p>
    <w:p w14:paraId="12A73BB8">
      <w:pPr>
        <w:spacing w:line="640" w:lineRule="exact"/>
        <w:ind w:firstLine="640"/>
        <w:jc w:val="both"/>
        <w:outlineLvl w:val="2"/>
      </w:pPr>
      <w:r>
        <w:rPr>
          <w:rFonts w:ascii="黑体" w:hAnsi="黑体" w:eastAsia="黑体"/>
          <w:sz w:val="32"/>
        </w:rPr>
        <w:t>五、一般公共预算财政拨款支出决算情况说明</w:t>
      </w:r>
    </w:p>
    <w:p w14:paraId="79B8AD5A">
      <w:pPr>
        <w:spacing w:line="640" w:lineRule="exact"/>
        <w:ind w:firstLine="640"/>
        <w:jc w:val="both"/>
        <w:outlineLvl w:val="3"/>
      </w:pPr>
      <w:r>
        <w:rPr>
          <w:rFonts w:ascii="楷体_GB2312" w:hAnsi="楷体_GB2312" w:eastAsia="楷体_GB2312"/>
          <w:b/>
          <w:sz w:val="32"/>
        </w:rPr>
        <w:t>（一）一般公共预算财政拨款支出决算总体情况</w:t>
      </w:r>
    </w:p>
    <w:p w14:paraId="106BE21B">
      <w:pPr>
        <w:spacing w:line="580" w:lineRule="exact"/>
        <w:ind w:firstLine="640"/>
        <w:jc w:val="both"/>
      </w:pPr>
      <w:r>
        <w:rPr>
          <w:rFonts w:ascii="仿宋_GB2312" w:hAnsi="仿宋_GB2312" w:eastAsia="仿宋_GB2312"/>
          <w:b/>
          <w:sz w:val="32"/>
        </w:rPr>
        <w:t>2024年度一般公共预算财政拨款支出2,535.55万元，</w:t>
      </w:r>
      <w:r>
        <w:rPr>
          <w:rFonts w:ascii="仿宋_GB2312" w:hAnsi="仿宋_GB2312" w:eastAsia="仿宋_GB2312"/>
          <w:b w:val="0"/>
          <w:sz w:val="32"/>
        </w:rPr>
        <w:t>占本年支出合计的98.21%。</w:t>
      </w:r>
      <w:r>
        <w:rPr>
          <w:rFonts w:ascii="仿宋_GB2312" w:hAnsi="仿宋_GB2312" w:eastAsia="仿宋_GB2312"/>
          <w:b/>
          <w:sz w:val="32"/>
        </w:rPr>
        <w:t>与上年相比，</w:t>
      </w:r>
      <w:r>
        <w:rPr>
          <w:rFonts w:ascii="仿宋_GB2312" w:hAnsi="仿宋_GB2312" w:eastAsia="仿宋_GB2312"/>
          <w:b w:val="0"/>
          <w:sz w:val="32"/>
        </w:rPr>
        <w:t>减少415.92万元，下降14.09%，主要原因是：本年减少化解欠款资金、业务费补助、智慧法庭建设、诉讼服务大厅自助设备等项目，项目资金较上年减少。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年初预算数2,382.45万元，决算数2,535.55万元，预决算差异率6.43%，主要原因是：本年在职人员增加，年中追加人员经费及人员工资、社保、公积金基数调增部分资金，导致预决算存在差异。</w:t>
      </w:r>
    </w:p>
    <w:p w14:paraId="09362E56">
      <w:pPr>
        <w:spacing w:line="640" w:lineRule="exact"/>
        <w:ind w:firstLine="640"/>
        <w:jc w:val="both"/>
        <w:outlineLvl w:val="3"/>
      </w:pPr>
      <w:r>
        <w:rPr>
          <w:rFonts w:ascii="楷体_GB2312" w:hAnsi="楷体_GB2312" w:eastAsia="楷体_GB2312"/>
          <w:b/>
          <w:sz w:val="32"/>
        </w:rPr>
        <w:t>（二）一般公共预算财政拨款支出决算结构情况</w:t>
      </w:r>
    </w:p>
    <w:p w14:paraId="1CCF5F3E">
      <w:pPr>
        <w:spacing w:line="580" w:lineRule="exact"/>
        <w:ind w:firstLine="640"/>
        <w:jc w:val="both"/>
      </w:pPr>
      <w:r>
        <w:rPr>
          <w:rFonts w:ascii="仿宋_GB2312" w:hAnsi="仿宋_GB2312" w:eastAsia="仿宋_GB2312"/>
          <w:b w:val="0"/>
          <w:sz w:val="32"/>
        </w:rPr>
        <w:t>1.一般公共服务支出(类)15.00万元,占0.59%。</w:t>
      </w:r>
    </w:p>
    <w:p w14:paraId="51DA9002">
      <w:pPr>
        <w:spacing w:line="580" w:lineRule="exact"/>
        <w:ind w:firstLine="640"/>
        <w:jc w:val="both"/>
      </w:pPr>
      <w:r>
        <w:rPr>
          <w:rFonts w:ascii="仿宋_GB2312" w:hAnsi="仿宋_GB2312" w:eastAsia="仿宋_GB2312"/>
          <w:b w:val="0"/>
          <w:sz w:val="32"/>
        </w:rPr>
        <w:t>2.公共安全支出(类)2,083.96万元,占82.19%。</w:t>
      </w:r>
    </w:p>
    <w:p w14:paraId="68B09784">
      <w:pPr>
        <w:spacing w:line="580" w:lineRule="exact"/>
        <w:ind w:firstLine="640"/>
        <w:jc w:val="both"/>
      </w:pPr>
      <w:r>
        <w:rPr>
          <w:rFonts w:ascii="仿宋_GB2312" w:hAnsi="仿宋_GB2312" w:eastAsia="仿宋_GB2312"/>
          <w:b w:val="0"/>
          <w:sz w:val="32"/>
        </w:rPr>
        <w:t>3.社会保障和就业支出(类)227.30万元,占8.96%。</w:t>
      </w:r>
    </w:p>
    <w:p w14:paraId="6EE650F8">
      <w:pPr>
        <w:spacing w:line="580" w:lineRule="exact"/>
        <w:ind w:firstLine="640"/>
        <w:jc w:val="both"/>
      </w:pPr>
      <w:r>
        <w:rPr>
          <w:rFonts w:ascii="仿宋_GB2312" w:hAnsi="仿宋_GB2312" w:eastAsia="仿宋_GB2312"/>
          <w:b w:val="0"/>
          <w:sz w:val="32"/>
        </w:rPr>
        <w:t>4.卫生健康支出(类)71.17万元,占2.81%。</w:t>
      </w:r>
    </w:p>
    <w:p w14:paraId="13997B87">
      <w:pPr>
        <w:spacing w:line="580" w:lineRule="exact"/>
        <w:ind w:firstLine="640"/>
        <w:jc w:val="both"/>
      </w:pPr>
      <w:r>
        <w:rPr>
          <w:rFonts w:ascii="仿宋_GB2312" w:hAnsi="仿宋_GB2312" w:eastAsia="仿宋_GB2312"/>
          <w:b w:val="0"/>
          <w:sz w:val="32"/>
        </w:rPr>
        <w:t>5.住房保障支出(类)121.12万元,占4.78%。</w:t>
      </w:r>
    </w:p>
    <w:p w14:paraId="6FE3533E">
      <w:pPr>
        <w:spacing w:line="580" w:lineRule="exact"/>
        <w:ind w:firstLine="640"/>
        <w:jc w:val="both"/>
      </w:pPr>
      <w:r>
        <w:rPr>
          <w:rFonts w:ascii="仿宋_GB2312" w:hAnsi="仿宋_GB2312" w:eastAsia="仿宋_GB2312"/>
          <w:b w:val="0"/>
          <w:sz w:val="32"/>
        </w:rPr>
        <w:t>6.其他支出(类)17.00万元,占0.67%。</w:t>
      </w:r>
    </w:p>
    <w:p w14:paraId="24178341">
      <w:pPr>
        <w:spacing w:line="640" w:lineRule="exact"/>
        <w:ind w:firstLine="640"/>
        <w:jc w:val="both"/>
        <w:outlineLvl w:val="3"/>
      </w:pPr>
      <w:r>
        <w:rPr>
          <w:rFonts w:ascii="楷体_GB2312" w:hAnsi="楷体_GB2312" w:eastAsia="楷体_GB2312"/>
          <w:b/>
          <w:sz w:val="32"/>
        </w:rPr>
        <w:t>（三）一般公共预算财政拨款支出决算具体情况</w:t>
      </w:r>
    </w:p>
    <w:p w14:paraId="56C2D5DC">
      <w:pPr>
        <w:spacing w:line="580" w:lineRule="exact"/>
        <w:ind w:firstLine="640"/>
        <w:jc w:val="both"/>
      </w:pPr>
      <w:r>
        <w:rPr>
          <w:rFonts w:ascii="仿宋_GB2312" w:hAnsi="仿宋_GB2312" w:eastAsia="仿宋_GB2312"/>
          <w:b w:val="0"/>
          <w:sz w:val="32"/>
        </w:rPr>
        <w:t>1.一般公共服务支出(类)信访事务(款)信访业务(项):支出决算数为15.00万元，比上年决算增加15.00万元，增长100.00%,主要原因是：本年增加化解信访业务司法救助金项目资金，导致相关经费较上年有所增加。</w:t>
      </w:r>
    </w:p>
    <w:p w14:paraId="25D83087">
      <w:pPr>
        <w:spacing w:line="580" w:lineRule="exact"/>
        <w:ind w:firstLine="640"/>
        <w:jc w:val="both"/>
      </w:pPr>
      <w:r>
        <w:rPr>
          <w:rFonts w:ascii="仿宋_GB2312" w:hAnsi="仿宋_GB2312" w:eastAsia="仿宋_GB2312"/>
          <w:b w:val="0"/>
          <w:sz w:val="32"/>
        </w:rPr>
        <w:t>2.公共安全支出(类)法院(款)行政运行(项):支出决算数为1,651.31万元，比上年决算增加19.50万元，增长1.19%,主要原因是：本年在职人员工资调增，导致经费较上年有所增加。</w:t>
      </w:r>
    </w:p>
    <w:p w14:paraId="3EDC79A5">
      <w:pPr>
        <w:spacing w:line="580" w:lineRule="exact"/>
        <w:ind w:firstLine="640"/>
        <w:jc w:val="both"/>
      </w:pPr>
      <w:r>
        <w:rPr>
          <w:rFonts w:ascii="仿宋_GB2312" w:hAnsi="仿宋_GB2312" w:eastAsia="仿宋_GB2312"/>
          <w:b w:val="0"/>
          <w:sz w:val="32"/>
        </w:rPr>
        <w:t>3.公共安全支出(类)法院(款)一般行政管理事务(项):支出决算数为0.00万元，比上年决算减少411.50万元，下降100.00%,主要原因是：本年减少业务费补助、智慧法庭建设、诉讼服务大厅自助设备等项目，导致相关经费较上年有所减少。</w:t>
      </w:r>
    </w:p>
    <w:p w14:paraId="176A4E26">
      <w:pPr>
        <w:spacing w:line="580" w:lineRule="exact"/>
        <w:ind w:firstLine="640"/>
        <w:jc w:val="both"/>
      </w:pPr>
      <w:r>
        <w:rPr>
          <w:rFonts w:ascii="仿宋_GB2312" w:hAnsi="仿宋_GB2312" w:eastAsia="仿宋_GB2312"/>
          <w:b w:val="0"/>
          <w:sz w:val="32"/>
        </w:rPr>
        <w:t>4.公共安全支出(类)法院(款)“两庭”建设(项):支出决算数为32.22万元，比上年决算减少5.56万元，下降14.72%,主要原因是：本年结转州本级保障项目资金支出较上年有所减少。</w:t>
      </w:r>
    </w:p>
    <w:p w14:paraId="444A87D0">
      <w:pPr>
        <w:spacing w:line="580" w:lineRule="exact"/>
        <w:ind w:firstLine="640"/>
        <w:jc w:val="both"/>
      </w:pPr>
      <w:r>
        <w:rPr>
          <w:rFonts w:ascii="仿宋_GB2312" w:hAnsi="仿宋_GB2312" w:eastAsia="仿宋_GB2312"/>
          <w:b w:val="0"/>
          <w:sz w:val="32"/>
        </w:rPr>
        <w:t>5.公共安全支出(类)法院(款)其他法院支出(项):支出决算数为400.43万元，比上年决算减少44.68万元，下降10.04%,主要原因是：本年2023年中央转移支付资金结转资金支出减少。</w:t>
      </w:r>
    </w:p>
    <w:p w14:paraId="6EF2AF02">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6.社会保障和就业支出(类)行政事业单位养老支出(款)行政单位离退休(项):支出决算数为20.52万元，比上年决算增加9.97万元，增长94.50%,主要原因是：本年增加退休人员基础绩效奖，退休费支出增加。</w:t>
      </w:r>
    </w:p>
    <w:p w14:paraId="2DEE45F9">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137.33万元，比上年决算增加12.01万元，增长9.58%,主要原因是：本年在职人员工资基数调增，养老保险缴费较上年增加。</w:t>
      </w:r>
    </w:p>
    <w:p w14:paraId="5AD1F580">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69.46万元，比上年决算增加3.45万元，增长5.23%,主要原因是：本年新增退休人员，在职人员工资调增，职业年金缴费支出增加。</w:t>
      </w:r>
    </w:p>
    <w:p w14:paraId="5E611EBA">
      <w:pPr>
        <w:spacing w:line="580" w:lineRule="exact"/>
        <w:ind w:firstLine="640"/>
        <w:jc w:val="both"/>
      </w:pPr>
      <w:r>
        <w:rPr>
          <w:rFonts w:ascii="仿宋_GB2312" w:hAnsi="仿宋_GB2312" w:eastAsia="仿宋_GB2312"/>
          <w:b w:val="0"/>
          <w:sz w:val="32"/>
        </w:rPr>
        <w:t>9.卫生健康支出(类)行政事业单位医疗(款)行政单位医疗(项):支出决算数为66.45万元，比上年决算减少2.11万元，下降3.08%,主要原因是：本年在职人员调入，退休，人员职级不同，缴费基数不同，导致行政单位医疗较上年减少。</w:t>
      </w:r>
    </w:p>
    <w:p w14:paraId="6F903A7C">
      <w:pPr>
        <w:spacing w:line="580" w:lineRule="exact"/>
        <w:ind w:firstLine="640"/>
        <w:jc w:val="both"/>
      </w:pPr>
      <w:r>
        <w:rPr>
          <w:rFonts w:ascii="仿宋_GB2312" w:hAnsi="仿宋_GB2312" w:eastAsia="仿宋_GB2312"/>
          <w:b w:val="0"/>
          <w:sz w:val="32"/>
        </w:rPr>
        <w:t>10.卫生健康支出(类)行政事业单位医疗(款)公务员医疗补助(项):支出决算数为4.23万元，比上年决算减少0.28万元，下降6.21%,主要原因是：本年在职人员调入，退休，人员职级不同，缴费基数不同，导致单位医疗较上年减少。</w:t>
      </w:r>
    </w:p>
    <w:p w14:paraId="1F0C5584">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0.49万元，比上年决算减少0.16万元，下降24.62%,主要原因是：本年在职人员调入，退休，人员职级不同，缴费基数不同，导致单位医疗较上年减少。</w:t>
      </w:r>
    </w:p>
    <w:p w14:paraId="07AE29EF">
      <w:pPr>
        <w:spacing w:line="580" w:lineRule="exact"/>
        <w:ind w:firstLine="640"/>
        <w:jc w:val="both"/>
      </w:pPr>
      <w:r>
        <w:rPr>
          <w:rFonts w:ascii="仿宋_GB2312" w:hAnsi="仿宋_GB2312" w:eastAsia="仿宋_GB2312"/>
          <w:b w:val="0"/>
          <w:sz w:val="32"/>
        </w:rPr>
        <w:t>12.住房保障支出(类)住房改革支出(款)住房公积金(项):支出决算数为121.12万元，比上年决算增加1.20万元，增长1.00%,主要原因是：本年在职人员工资基数调增，公积金缴费基数上涨，相应支出增加。</w:t>
      </w:r>
    </w:p>
    <w:p w14:paraId="31A973B3">
      <w:pPr>
        <w:spacing w:line="580" w:lineRule="exact"/>
        <w:ind w:firstLine="640"/>
        <w:jc w:val="both"/>
      </w:pPr>
      <w:r>
        <w:rPr>
          <w:rFonts w:ascii="仿宋_GB2312" w:hAnsi="仿宋_GB2312" w:eastAsia="仿宋_GB2312"/>
          <w:b w:val="0"/>
          <w:sz w:val="32"/>
        </w:rPr>
        <w:t>13.其他支出(类)其他支出(款)其他支出(项):支出决算数为17.00万元，比上年决算减少12.76万元，下降42.88%,主要原因是：本年结转为民办实事驻村工作经费支出减少。</w:t>
      </w:r>
    </w:p>
    <w:p w14:paraId="1CE6697F">
      <w:pPr>
        <w:spacing w:line="640" w:lineRule="exact"/>
        <w:ind w:firstLine="640"/>
        <w:jc w:val="both"/>
        <w:outlineLvl w:val="2"/>
      </w:pPr>
      <w:r>
        <w:rPr>
          <w:rFonts w:ascii="黑体" w:hAnsi="黑体" w:eastAsia="黑体"/>
          <w:sz w:val="32"/>
        </w:rPr>
        <w:t>六、一般公共预算财政拨款基本支出决算情况说明</w:t>
      </w:r>
    </w:p>
    <w:p w14:paraId="376F0A6B">
      <w:pPr>
        <w:spacing w:line="580" w:lineRule="exact"/>
        <w:ind w:firstLine="640"/>
        <w:jc w:val="both"/>
      </w:pPr>
      <w:r>
        <w:rPr>
          <w:rFonts w:ascii="仿宋_GB2312" w:hAnsi="仿宋_GB2312" w:eastAsia="仿宋_GB2312"/>
          <w:b w:val="0"/>
          <w:sz w:val="32"/>
        </w:rPr>
        <w:t>2024年度一般公共预算财政拨款基本支出2,070.90万元，其中：</w:t>
      </w:r>
      <w:r>
        <w:rPr>
          <w:rFonts w:ascii="仿宋_GB2312" w:hAnsi="仿宋_GB2312" w:eastAsia="仿宋_GB2312"/>
          <w:b/>
          <w:sz w:val="32"/>
        </w:rPr>
        <w:t>人员经费1,887.95万元，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14:paraId="68F23BAF">
      <w:pPr>
        <w:spacing w:line="580" w:lineRule="exact"/>
        <w:ind w:firstLine="640"/>
        <w:jc w:val="both"/>
      </w:pPr>
      <w:r>
        <w:rPr>
          <w:rFonts w:ascii="仿宋_GB2312" w:hAnsi="仿宋_GB2312" w:eastAsia="仿宋_GB2312"/>
          <w:b/>
          <w:sz w:val="32"/>
        </w:rPr>
        <w:t>公用经费182.95万元，</w:t>
      </w:r>
      <w:r>
        <w:rPr>
          <w:rFonts w:ascii="仿宋_GB2312" w:hAnsi="仿宋_GB2312" w:eastAsia="仿宋_GB2312"/>
          <w:b w:val="0"/>
          <w:sz w:val="32"/>
        </w:rPr>
        <w:t>包括：办公费、印刷费、手续费、水费、电费、邮电费、取暖费、物业管理费、维修（护）费、租赁费、公务接待费、劳务费、委托业务费、工会经费、福利费、公务用车运行维护费、其他交通费用、其他商品和服务支出。</w:t>
      </w:r>
    </w:p>
    <w:p w14:paraId="2F73DDBD">
      <w:pPr>
        <w:spacing w:line="640" w:lineRule="exact"/>
        <w:ind w:firstLine="640"/>
        <w:jc w:val="both"/>
        <w:outlineLvl w:val="2"/>
      </w:pPr>
      <w:r>
        <w:rPr>
          <w:rFonts w:ascii="黑体" w:hAnsi="黑体" w:eastAsia="黑体"/>
          <w:sz w:val="32"/>
        </w:rPr>
        <w:t>七、政府性基金预算财政拨款收入支出决算情况说明</w:t>
      </w:r>
    </w:p>
    <w:p w14:paraId="2EE6FA4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104E15F">
      <w:pPr>
        <w:spacing w:line="640" w:lineRule="exact"/>
        <w:ind w:firstLine="640"/>
        <w:jc w:val="both"/>
        <w:outlineLvl w:val="2"/>
      </w:pPr>
      <w:r>
        <w:rPr>
          <w:rFonts w:ascii="黑体" w:hAnsi="黑体" w:eastAsia="黑体"/>
          <w:sz w:val="32"/>
        </w:rPr>
        <w:t>八、国有资本经营预算财政拨款收入支出决算情况说明</w:t>
      </w:r>
    </w:p>
    <w:p w14:paraId="212FDBC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648741C">
      <w:pPr>
        <w:spacing w:line="640" w:lineRule="exact"/>
        <w:ind w:firstLine="640"/>
        <w:jc w:val="both"/>
        <w:outlineLvl w:val="2"/>
      </w:pPr>
      <w:r>
        <w:rPr>
          <w:rFonts w:ascii="黑体" w:hAnsi="黑体" w:eastAsia="黑体"/>
          <w:sz w:val="32"/>
        </w:rPr>
        <w:t>九、财政拨款“三公”经费支出决算情况说明</w:t>
      </w:r>
    </w:p>
    <w:p w14:paraId="087ABD31">
      <w:pPr>
        <w:spacing w:line="580" w:lineRule="exact"/>
        <w:ind w:firstLine="640"/>
        <w:jc w:val="both"/>
      </w:pPr>
      <w:r>
        <w:rPr>
          <w:rFonts w:ascii="仿宋_GB2312" w:hAnsi="仿宋_GB2312" w:eastAsia="仿宋_GB2312"/>
          <w:b/>
          <w:sz w:val="32"/>
        </w:rPr>
        <w:t>2024年度财政拨款“三公”经费支出5.60万元，</w:t>
      </w:r>
      <w:r>
        <w:rPr>
          <w:rFonts w:ascii="仿宋_GB2312" w:hAnsi="仿宋_GB2312" w:eastAsia="仿宋_GB2312"/>
          <w:b w:val="0"/>
          <w:sz w:val="32"/>
        </w:rPr>
        <w:t>比上年增加2.30万元，增长69.70%，主要原因是：本单位公务用车日渐老化，维修维护成本增加，导致公务用车运行维护费较上年增加。其中：因公出国（境）费支出0.00万元，占0.00%，比上年增加0.00万元，增长0.00%，主要原因是：2023年与2024年均未安排因公出国（境）费支出。公务用车购置及运行维护费支出5.30万元，占94.64%，比上年增加2.00万元，增长60.61%，主要原因是：本单位公务用车日渐老化，维修维护成本增加，导致公务用车运行维护费较上年增加。公务接待费支出0.30万元，占5.36%，比上年增加0.30万元，增长100.00%，主要原因是：本年因业务需求，增加公务接待工作，导致公务接待费较上年增加。</w:t>
      </w:r>
    </w:p>
    <w:p w14:paraId="71F337B3">
      <w:pPr>
        <w:spacing w:line="580" w:lineRule="exact"/>
        <w:ind w:firstLine="640"/>
        <w:jc w:val="both"/>
      </w:pPr>
      <w:r>
        <w:rPr>
          <w:rFonts w:ascii="仿宋_GB2312" w:hAnsi="仿宋_GB2312" w:eastAsia="仿宋_GB2312"/>
          <w:b/>
          <w:sz w:val="32"/>
        </w:rPr>
        <w:t>具体情况如下：</w:t>
      </w:r>
    </w:p>
    <w:p w14:paraId="2C7F545F">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0AC1C9E9">
      <w:pPr>
        <w:spacing w:line="580" w:lineRule="exact"/>
        <w:ind w:firstLine="640"/>
        <w:jc w:val="both"/>
      </w:pPr>
      <w:r>
        <w:rPr>
          <w:rFonts w:ascii="仿宋_GB2312" w:hAnsi="仿宋_GB2312" w:eastAsia="仿宋_GB2312"/>
          <w:b w:val="0"/>
          <w:sz w:val="32"/>
        </w:rPr>
        <w:t>公务用车购置及运行维护费5.30万元，其中：公务用车购置费0.00万元，公务用车运行维护费5.30万元。公务用车运行维护费开支内容包括车辆加油费、维修费、保险费、审车费、过路费等。公务用车购置数0辆，公务用车保有量15辆。国有资产占用情况中固定资产车辆15辆，与公务用车保有量差异原因是：本单位固定资产车辆与公务用车保有量一致无差异。</w:t>
      </w:r>
    </w:p>
    <w:p w14:paraId="6F9D94DD">
      <w:pPr>
        <w:spacing w:line="580" w:lineRule="exact"/>
        <w:ind w:firstLine="640"/>
        <w:jc w:val="both"/>
      </w:pPr>
      <w:r>
        <w:rPr>
          <w:rFonts w:ascii="仿宋_GB2312" w:hAnsi="仿宋_GB2312" w:eastAsia="仿宋_GB2312"/>
          <w:b w:val="0"/>
          <w:sz w:val="32"/>
        </w:rPr>
        <w:t>公务接待费0.30万元，开支内容包括因接待上级领导检查产生的就餐费。单位全年安排的国内公务接待3批次，30人次。</w:t>
      </w:r>
    </w:p>
    <w:p w14:paraId="2A587F1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5.60万元，决算数5.60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5.30万元，决算数5.30万元，预决算差异率0.00%，主要原因是：严格按照预算执行，预决算无差异。公务接待费全年预算数0.30万元，决算数0.30万元，预决算差异率0.00%，主要原因是：严格按照预算执行，预决算无差异。</w:t>
      </w:r>
    </w:p>
    <w:p w14:paraId="01ED8603">
      <w:pPr>
        <w:spacing w:line="640" w:lineRule="exact"/>
        <w:ind w:firstLine="640"/>
        <w:jc w:val="both"/>
        <w:outlineLvl w:val="2"/>
      </w:pPr>
      <w:r>
        <w:rPr>
          <w:rFonts w:ascii="黑体" w:hAnsi="黑体" w:eastAsia="黑体"/>
          <w:sz w:val="32"/>
        </w:rPr>
        <w:t>十、其他重要事项的情况说明</w:t>
      </w:r>
    </w:p>
    <w:p w14:paraId="3DFAC64B">
      <w:pPr>
        <w:spacing w:line="640" w:lineRule="exact"/>
        <w:ind w:firstLine="640"/>
        <w:jc w:val="both"/>
        <w:outlineLvl w:val="3"/>
      </w:pPr>
      <w:r>
        <w:rPr>
          <w:rFonts w:ascii="楷体_GB2312" w:hAnsi="楷体_GB2312" w:eastAsia="楷体_GB2312"/>
          <w:b/>
          <w:sz w:val="32"/>
        </w:rPr>
        <w:t>（一）机关运行经费及公用经费支出情况</w:t>
      </w:r>
    </w:p>
    <w:p w14:paraId="7BE43D17">
      <w:pPr>
        <w:spacing w:line="580" w:lineRule="exact"/>
        <w:ind w:firstLine="640"/>
        <w:jc w:val="both"/>
      </w:pPr>
      <w:r>
        <w:rPr>
          <w:rFonts w:ascii="仿宋_GB2312" w:hAnsi="仿宋_GB2312" w:eastAsia="仿宋_GB2312"/>
          <w:b w:val="0"/>
          <w:sz w:val="32"/>
        </w:rPr>
        <w:t>2024年度奇台县人民法院（行政单位和参照公务员法管理事业单位）机关运行经费支出182.95万元，比上年增加20.54万元，增长12.65%，主要原因是：本年增加办公经费，导致机关运行经费较上年增加。</w:t>
      </w:r>
    </w:p>
    <w:p w14:paraId="59E0512D">
      <w:pPr>
        <w:spacing w:line="640" w:lineRule="exact"/>
        <w:ind w:firstLine="640"/>
        <w:jc w:val="both"/>
        <w:outlineLvl w:val="3"/>
      </w:pPr>
      <w:r>
        <w:rPr>
          <w:rFonts w:ascii="楷体_GB2312" w:hAnsi="楷体_GB2312" w:eastAsia="楷体_GB2312"/>
          <w:b/>
          <w:sz w:val="32"/>
        </w:rPr>
        <w:t>（二）政府采购情况</w:t>
      </w:r>
    </w:p>
    <w:p w14:paraId="001D0F03">
      <w:pPr>
        <w:spacing w:line="580" w:lineRule="exact"/>
        <w:ind w:firstLine="640"/>
        <w:jc w:val="both"/>
      </w:pPr>
      <w:r>
        <w:rPr>
          <w:rFonts w:ascii="仿宋_GB2312" w:hAnsi="仿宋_GB2312" w:eastAsia="仿宋_GB2312"/>
          <w:b w:val="0"/>
          <w:sz w:val="32"/>
        </w:rPr>
        <w:t>2024年度政府采购支出总额80.78万元，其中：政府采购货物支出26.12万元、政府采购工程支出37.04万元、政府采购服务支出17.63万元。</w:t>
      </w:r>
    </w:p>
    <w:p w14:paraId="400B98D6">
      <w:pPr>
        <w:spacing w:line="580" w:lineRule="exact"/>
        <w:ind w:firstLine="640"/>
        <w:jc w:val="both"/>
      </w:pPr>
      <w:r>
        <w:rPr>
          <w:rFonts w:ascii="仿宋_GB2312" w:hAnsi="仿宋_GB2312" w:eastAsia="仿宋_GB2312"/>
          <w:b w:val="0"/>
          <w:sz w:val="32"/>
        </w:rPr>
        <w:t>授予中小企业合同金额78.25万元，占政府采购支出总额的96.87%，其中：授予小微企业合同金额75.87万元，占政府采购支出总额的93.92%。</w:t>
      </w:r>
    </w:p>
    <w:p w14:paraId="5AE3AD48">
      <w:pPr>
        <w:spacing w:line="640" w:lineRule="exact"/>
        <w:ind w:firstLine="640"/>
        <w:jc w:val="both"/>
        <w:outlineLvl w:val="3"/>
      </w:pPr>
      <w:r>
        <w:rPr>
          <w:rFonts w:ascii="楷体_GB2312" w:hAnsi="楷体_GB2312" w:eastAsia="楷体_GB2312"/>
          <w:b/>
          <w:sz w:val="32"/>
        </w:rPr>
        <w:t>（三）国有资产占用情况说明</w:t>
      </w:r>
    </w:p>
    <w:p w14:paraId="57BCFFFA">
      <w:pPr>
        <w:spacing w:line="580" w:lineRule="exact"/>
        <w:ind w:firstLine="640"/>
        <w:jc w:val="both"/>
      </w:pPr>
      <w:r>
        <w:rPr>
          <w:rFonts w:ascii="仿宋_GB2312" w:hAnsi="仿宋_GB2312" w:eastAsia="仿宋_GB2312"/>
          <w:b w:val="0"/>
          <w:sz w:val="32"/>
        </w:rPr>
        <w:t>截至2024年12月31日，房屋6,100.00平方米，价值1,473.59万元。车辆15辆，价值253.41万元，其中：副部（省）级及以上领导用车0辆、主要负责人用车1辆、机要通信用车0辆、应急保障用车0辆、执法执勤用车12辆、特种专业技术用车2辆、离退休干部服务用车0辆、其他用车0辆，其他用车主要是：本单位无其他用车。单价100万元（含）以上设备（不含车辆）0台（套）。</w:t>
      </w:r>
    </w:p>
    <w:p w14:paraId="139B69D7">
      <w:pPr>
        <w:spacing w:line="640" w:lineRule="exact"/>
        <w:ind w:firstLine="640"/>
        <w:jc w:val="both"/>
        <w:outlineLvl w:val="2"/>
      </w:pPr>
      <w:r>
        <w:rPr>
          <w:rFonts w:ascii="黑体" w:hAnsi="黑体" w:eastAsia="黑体"/>
          <w:sz w:val="32"/>
        </w:rPr>
        <w:t>十一、预算绩效的情况说明</w:t>
      </w:r>
    </w:p>
    <w:p w14:paraId="2D762085">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根据预算绩效管理要求，本单位2024年度预算绩效管理形成整体支出绩效自评表1个，全年预算总额2,655.73万元，实际执行总额2,581.66万元；预算绩效评价项目</w:t>
      </w:r>
      <w:r>
        <w:rPr>
          <w:rFonts w:hint="eastAsia" w:ascii="仿宋_GB2312" w:hAnsi="仿宋_GB2312" w:eastAsia="仿宋_GB2312"/>
          <w:b w:val="0"/>
          <w:sz w:val="32"/>
          <w:lang w:val="en-US" w:eastAsia="zh-CN"/>
        </w:rPr>
        <w:t>4</w:t>
      </w:r>
      <w:r>
        <w:rPr>
          <w:rFonts w:ascii="仿宋_GB2312" w:hAnsi="仿宋_GB2312" w:eastAsia="仿宋_GB2312"/>
          <w:b w:val="0"/>
          <w:sz w:val="32"/>
        </w:rPr>
        <w:t>个，全年预算数</w:t>
      </w:r>
      <w:r>
        <w:rPr>
          <w:rFonts w:hint="eastAsia" w:ascii="仿宋_GB2312" w:hAnsi="仿宋_GB2312" w:eastAsia="仿宋_GB2312"/>
          <w:b w:val="0"/>
          <w:sz w:val="32"/>
        </w:rPr>
        <w:t>492.69</w:t>
      </w:r>
      <w:r>
        <w:rPr>
          <w:rFonts w:ascii="仿宋_GB2312" w:hAnsi="仿宋_GB2312" w:eastAsia="仿宋_GB2312"/>
          <w:b w:val="0"/>
          <w:sz w:val="32"/>
        </w:rPr>
        <w:t>万元，全年执行数</w:t>
      </w:r>
      <w:r>
        <w:rPr>
          <w:rFonts w:hint="eastAsia" w:ascii="仿宋_GB2312" w:hAnsi="仿宋_GB2312" w:eastAsia="仿宋_GB2312"/>
          <w:b w:val="0"/>
          <w:sz w:val="32"/>
        </w:rPr>
        <w:t>476.43</w:t>
      </w:r>
      <w:r>
        <w:rPr>
          <w:rFonts w:ascii="仿宋_GB2312" w:hAnsi="仿宋_GB2312" w:eastAsia="仿宋_GB2312"/>
          <w:b w:val="0"/>
          <w:sz w:val="32"/>
        </w:rPr>
        <w:t>万元。预算绩效管理取得的成效：一</w:t>
      </w:r>
      <w:r>
        <w:rPr>
          <w:rFonts w:hint="eastAsia" w:ascii="仿宋_GB2312" w:hAnsi="仿宋_GB2312" w:eastAsia="仿宋_GB2312"/>
          <w:b w:val="0"/>
          <w:sz w:val="32"/>
          <w:lang w:eastAsia="zh-CN"/>
        </w:rPr>
        <w:t>是科</w:t>
      </w:r>
      <w:r>
        <w:rPr>
          <w:rFonts w:ascii="仿宋_GB2312" w:hAnsi="仿宋_GB2312" w:eastAsia="仿宋_GB2312"/>
          <w:b w:val="0"/>
          <w:sz w:val="32"/>
        </w:rPr>
        <w:t>学合理编制预算，要做好编制前的调查研究和分析工作，进一步提高预算的准确性和科学性，减少预算编制的随意性。在对预算年度的经济状况进行全面科学分析的基础上，按照“量入为出、收支平衡、统筹兼顾，确保重点”的原则，合理安排预算收支，将预算资金尽量落实到具体项目，争取做到每个支出项目都能在预算中有所反映，使预算充分反映以政府为主体的资金收支活动全貌，保证预算的可执行性；二是加强单位内部机构的预算管理意识，严格按照预算编制的相关制度和要求进行预算编制，加强单位财务管理，健全单位财务管理制度体系，规范单位财务行为。发现的问题及原因：一是经办人员对绩效监控了解不够、掌握不多，业务不熟悉，缺乏绩效综合知</w:t>
      </w:r>
      <w:r>
        <w:rPr>
          <w:rFonts w:hint="eastAsia" w:ascii="仿宋_GB2312" w:hAnsi="仿宋_GB2312" w:eastAsia="仿宋_GB2312"/>
          <w:b w:val="0"/>
          <w:sz w:val="32"/>
          <w:lang w:eastAsia="zh-CN"/>
        </w:rPr>
        <w:t>识和</w:t>
      </w:r>
      <w:r>
        <w:rPr>
          <w:rFonts w:ascii="仿宋_GB2312" w:hAnsi="仿宋_GB2312" w:eastAsia="仿宋_GB2312"/>
          <w:b w:val="0"/>
          <w:sz w:val="32"/>
        </w:rPr>
        <w:t>专业人员，导致该项工作总体质量不高，未能充分发挥绩效管理的导向作用，工作质量有待提高；二是业务与绩效监控相脱节，主要是对绩效监控认识不到位，没有考虑到绩效监控对业务工作的关键作用，需要各业务科室</w:t>
      </w:r>
      <w:r>
        <w:rPr>
          <w:rFonts w:hint="eastAsia" w:ascii="仿宋_GB2312" w:hAnsi="仿宋_GB2312" w:eastAsia="仿宋_GB2312"/>
          <w:b w:val="0"/>
          <w:sz w:val="32"/>
          <w:lang w:eastAsia="zh-CN"/>
        </w:rPr>
        <w:t>明确</w:t>
      </w:r>
      <w:r>
        <w:rPr>
          <w:rFonts w:ascii="仿宋_GB2312" w:hAnsi="仿宋_GB2312" w:eastAsia="仿宋_GB2312"/>
          <w:b w:val="0"/>
          <w:sz w:val="32"/>
        </w:rPr>
        <w:t>本</w:t>
      </w:r>
      <w:r>
        <w:rPr>
          <w:rFonts w:hint="eastAsia" w:ascii="仿宋_GB2312" w:hAnsi="仿宋_GB2312" w:eastAsia="仿宋_GB2312"/>
          <w:b w:val="0"/>
          <w:sz w:val="32"/>
          <w:lang w:eastAsia="zh-CN"/>
        </w:rPr>
        <w:t>年度</w:t>
      </w:r>
      <w:r>
        <w:rPr>
          <w:rFonts w:ascii="仿宋_GB2312" w:hAnsi="仿宋_GB2312" w:eastAsia="仿宋_GB2312"/>
          <w:b w:val="0"/>
          <w:sz w:val="32"/>
        </w:rPr>
        <w:t>绩效目标，合理支出预算资金。下一步改进措施：一是大力强化宣传，加强绩效管理政策学习，提高思想认识，提高绩效监控认同感，从实际入手，进行深刻剖析，分析实施绩效监控的重要性和意义，激发各业务科室对实施绩效管理的积极性，根据各科室的工作要</w:t>
      </w:r>
      <w:r>
        <w:rPr>
          <w:rFonts w:hint="eastAsia" w:ascii="仿宋_GB2312" w:hAnsi="仿宋_GB2312" w:eastAsia="仿宋_GB2312"/>
          <w:b w:val="0"/>
          <w:sz w:val="32"/>
          <w:lang w:eastAsia="zh-CN"/>
        </w:rPr>
        <w:t>点和</w:t>
      </w:r>
      <w:r>
        <w:rPr>
          <w:rFonts w:ascii="仿宋_GB2312" w:hAnsi="仿宋_GB2312" w:eastAsia="仿宋_GB2312"/>
          <w:b w:val="0"/>
          <w:sz w:val="32"/>
        </w:rPr>
        <w:t>职能分工，把绩效工作细化，与考核任务挂钩，以提升单位人员对绩效工作的重视程度，提高管理工作的参与率，提升各部</w:t>
      </w:r>
      <w:r>
        <w:rPr>
          <w:rFonts w:hint="eastAsia" w:ascii="仿宋_GB2312" w:hAnsi="仿宋_GB2312" w:eastAsia="仿宋_GB2312"/>
          <w:b w:val="0"/>
          <w:sz w:val="32"/>
          <w:lang w:eastAsia="zh-CN"/>
        </w:rPr>
        <w:t>门之</w:t>
      </w:r>
      <w:r>
        <w:rPr>
          <w:rFonts w:ascii="仿宋_GB2312" w:hAnsi="仿宋_GB2312" w:eastAsia="仿宋_GB2312"/>
          <w:b w:val="0"/>
          <w:sz w:val="32"/>
        </w:rPr>
        <w:t>间的协同性；二是加强绩效管理工作培训，请专业人员培训绩效业务，不断提高业务水平，完善机构设置，有专人负责此项工作，做实绩效管理工作。具体附整体支出绩效自评表，项目支出绩效自评表和评价报告。</w:t>
      </w:r>
    </w:p>
    <w:p w14:paraId="35DB10B7">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1E0B284E">
        <w:tblPrEx>
          <w:tblCellMar>
            <w:top w:w="0" w:type="dxa"/>
            <w:left w:w="108" w:type="dxa"/>
            <w:bottom w:w="0" w:type="dxa"/>
            <w:right w:w="108" w:type="dxa"/>
          </w:tblCellMar>
        </w:tblPrEx>
        <w:tc>
          <w:tcPr>
            <w:tcW w:w="8847" w:type="dxa"/>
            <w:gridSpan w:val="9"/>
            <w:vAlign w:val="center"/>
          </w:tcPr>
          <w:p w14:paraId="48D647BE">
            <w:pPr>
              <w:jc w:val="center"/>
            </w:pPr>
            <w:r>
              <w:rPr>
                <w:rFonts w:ascii="宋体" w:hAnsi="宋体" w:eastAsia="宋体"/>
                <w:sz w:val="24"/>
              </w:rPr>
              <w:t>单位整体支出绩效自评表</w:t>
            </w:r>
          </w:p>
        </w:tc>
      </w:tr>
      <w:tr w14:paraId="1A514A56">
        <w:tblPrEx>
          <w:tblCellMar>
            <w:top w:w="0" w:type="dxa"/>
            <w:left w:w="108" w:type="dxa"/>
            <w:bottom w:w="0" w:type="dxa"/>
            <w:right w:w="108" w:type="dxa"/>
          </w:tblCellMar>
        </w:tblPrEx>
        <w:tc>
          <w:tcPr>
            <w:tcW w:w="8847" w:type="dxa"/>
            <w:gridSpan w:val="9"/>
            <w:vAlign w:val="center"/>
          </w:tcPr>
          <w:p w14:paraId="610D4848">
            <w:pPr>
              <w:jc w:val="center"/>
            </w:pPr>
            <w:r>
              <w:rPr>
                <w:rFonts w:ascii="宋体" w:hAnsi="宋体" w:eastAsia="宋体"/>
                <w:sz w:val="24"/>
              </w:rPr>
              <w:t>（2024年度）</w:t>
            </w:r>
          </w:p>
        </w:tc>
      </w:tr>
      <w:tr w14:paraId="61215864">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F8D5F5">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7813AFC">
            <w:pPr>
              <w:jc w:val="center"/>
            </w:pPr>
            <w:r>
              <w:rPr>
                <w:rFonts w:ascii="宋体" w:hAnsi="宋体" w:eastAsia="宋体"/>
                <w:sz w:val="16"/>
              </w:rPr>
              <w:t>奇台县人民法院</w:t>
            </w:r>
          </w:p>
        </w:tc>
      </w:tr>
      <w:tr w14:paraId="0DCE202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67D7B1">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3EFF0">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9BA1F9">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0194E2">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EF527">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066FCF">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2E0CC">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E66622">
            <w:pPr>
              <w:jc w:val="center"/>
            </w:pPr>
            <w:r>
              <w:rPr>
                <w:rFonts w:ascii="宋体" w:hAnsi="宋体" w:eastAsia="宋体"/>
                <w:sz w:val="16"/>
              </w:rPr>
              <w:t>得分</w:t>
            </w:r>
          </w:p>
        </w:tc>
      </w:tr>
      <w:tr w14:paraId="610140B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0FA24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B65E8">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4D28E">
            <w:pPr>
              <w:jc w:val="center"/>
            </w:pPr>
            <w:r>
              <w:rPr>
                <w:rFonts w:ascii="宋体" w:hAnsi="宋体" w:eastAsia="宋体"/>
                <w:sz w:val="16"/>
              </w:rPr>
              <w:t>245.00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CAECA2">
            <w:pPr>
              <w:jc w:val="center"/>
            </w:pPr>
            <w:r>
              <w:rPr>
                <w:rFonts w:ascii="宋体" w:hAnsi="宋体" w:eastAsia="宋体"/>
                <w:sz w:val="16"/>
              </w:rPr>
              <w:t>400.43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F36B92">
            <w:pPr>
              <w:jc w:val="center"/>
            </w:pPr>
            <w:r>
              <w:rPr>
                <w:rFonts w:ascii="宋体" w:hAnsi="宋体" w:eastAsia="宋体"/>
                <w:sz w:val="16"/>
              </w:rPr>
              <w:t>400.43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2C016">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3549C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E91599">
            <w:pPr>
              <w:jc w:val="center"/>
            </w:pPr>
            <w:r>
              <w:rPr>
                <w:rFonts w:ascii="宋体" w:hAnsi="宋体" w:eastAsia="宋体"/>
                <w:sz w:val="16"/>
              </w:rPr>
              <w:t>-</w:t>
            </w:r>
          </w:p>
        </w:tc>
      </w:tr>
      <w:tr w14:paraId="4414F795">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A82173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DBC254">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5F5B61">
            <w:pPr>
              <w:jc w:val="center"/>
            </w:pPr>
            <w:r>
              <w:rPr>
                <w:rFonts w:ascii="宋体" w:hAnsi="宋体" w:eastAsia="宋体"/>
                <w:sz w:val="16"/>
              </w:rPr>
              <w:t>2,137.45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3EEA78">
            <w:pPr>
              <w:jc w:val="center"/>
            </w:pPr>
            <w:r>
              <w:rPr>
                <w:rFonts w:ascii="宋体" w:hAnsi="宋体" w:eastAsia="宋体"/>
                <w:sz w:val="16"/>
              </w:rPr>
              <w:t>2,144.37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BC901">
            <w:pPr>
              <w:jc w:val="center"/>
            </w:pPr>
            <w:r>
              <w:rPr>
                <w:rFonts w:ascii="宋体" w:hAnsi="宋体" w:eastAsia="宋体"/>
                <w:sz w:val="16"/>
              </w:rPr>
              <w:t>2,144.37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7BE397">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81960">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626A0F">
            <w:pPr>
              <w:jc w:val="center"/>
            </w:pPr>
            <w:r>
              <w:rPr>
                <w:rFonts w:ascii="宋体" w:hAnsi="宋体" w:eastAsia="宋体"/>
                <w:sz w:val="16"/>
              </w:rPr>
              <w:t>-</w:t>
            </w:r>
          </w:p>
        </w:tc>
      </w:tr>
      <w:tr w14:paraId="787F20A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58BA4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3C90C">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1F2068">
            <w:pPr>
              <w:jc w:val="center"/>
            </w:pPr>
            <w:r>
              <w:rPr>
                <w:rFonts w:ascii="宋体" w:hAnsi="宋体" w:eastAsia="宋体"/>
                <w:sz w:val="16"/>
              </w:rPr>
              <w:t>36.28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3DF0D1">
            <w:pPr>
              <w:jc w:val="center"/>
            </w:pPr>
            <w:r>
              <w:rPr>
                <w:rFonts w:ascii="宋体" w:hAnsi="宋体" w:eastAsia="宋体"/>
                <w:sz w:val="16"/>
              </w:rPr>
              <w:t>110.93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C9625B">
            <w:pPr>
              <w:jc w:val="center"/>
            </w:pPr>
            <w:r>
              <w:rPr>
                <w:rFonts w:ascii="宋体" w:hAnsi="宋体" w:eastAsia="宋体"/>
                <w:sz w:val="16"/>
              </w:rPr>
              <w:t>36.86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8CB83E">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2174D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EF8A8">
            <w:pPr>
              <w:jc w:val="center"/>
            </w:pPr>
            <w:r>
              <w:rPr>
                <w:rFonts w:ascii="宋体" w:hAnsi="宋体" w:eastAsia="宋体"/>
                <w:sz w:val="16"/>
              </w:rPr>
              <w:t>-</w:t>
            </w:r>
          </w:p>
        </w:tc>
      </w:tr>
      <w:tr w14:paraId="2FAD935A">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AC8B3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DC70CE">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3F754E">
            <w:pPr>
              <w:jc w:val="center"/>
            </w:pPr>
            <w:r>
              <w:rPr>
                <w:rFonts w:ascii="宋体" w:hAnsi="宋体" w:eastAsia="宋体"/>
                <w:sz w:val="16"/>
              </w:rPr>
              <w:t>2,418.73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C2E8C7">
            <w:pPr>
              <w:jc w:val="center"/>
            </w:pPr>
            <w:r>
              <w:rPr>
                <w:rFonts w:ascii="宋体" w:hAnsi="宋体" w:eastAsia="宋体"/>
                <w:sz w:val="16"/>
              </w:rPr>
              <w:t>2,655.73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1DECF1">
            <w:pPr>
              <w:jc w:val="center"/>
            </w:pPr>
            <w:r>
              <w:rPr>
                <w:rFonts w:ascii="宋体" w:hAnsi="宋体" w:eastAsia="宋体"/>
                <w:sz w:val="16"/>
              </w:rPr>
              <w:t>2,581.66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FB7362">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8B9032">
            <w:pPr>
              <w:jc w:val="center"/>
            </w:pPr>
            <w:r>
              <w:rPr>
                <w:rFonts w:ascii="宋体" w:hAnsi="宋体" w:eastAsia="宋体"/>
                <w:sz w:val="16"/>
              </w:rPr>
              <w:t>97.21%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717E3F">
            <w:pPr>
              <w:jc w:val="center"/>
            </w:pPr>
            <w:r>
              <w:rPr>
                <w:rFonts w:ascii="宋体" w:hAnsi="宋体" w:eastAsia="宋体"/>
                <w:sz w:val="16"/>
              </w:rPr>
              <w:t>9.72</w:t>
            </w:r>
          </w:p>
        </w:tc>
      </w:tr>
      <w:tr w14:paraId="754EEE70">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E1DCB5">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DCC4961">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CE2B4C">
            <w:pPr>
              <w:jc w:val="center"/>
            </w:pPr>
            <w:r>
              <w:rPr>
                <w:rFonts w:ascii="宋体" w:hAnsi="宋体" w:eastAsia="宋体"/>
                <w:sz w:val="16"/>
              </w:rPr>
              <w:t>实际完成情况</w:t>
            </w:r>
          </w:p>
        </w:tc>
      </w:tr>
      <w:tr w14:paraId="33A0294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321353"/>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9458DA9">
            <w:pPr>
              <w:jc w:val="both"/>
            </w:pPr>
            <w:r>
              <w:rPr>
                <w:rFonts w:ascii="宋体" w:hAnsi="宋体" w:eastAsia="宋体"/>
                <w:sz w:val="16"/>
              </w:rPr>
              <w:t>目标1：履行审判执行工作职能，依法受理、审、执案件，努力让人民群众在每一个司法案件中感受到公平正义，保障</w:t>
            </w:r>
            <w:r>
              <w:rPr>
                <w:rFonts w:hint="eastAsia" w:ascii="宋体" w:hAnsi="宋体"/>
                <w:sz w:val="16"/>
                <w:lang w:eastAsia="zh-CN"/>
              </w:rPr>
              <w:t>法院</w:t>
            </w:r>
            <w:r>
              <w:rPr>
                <w:rFonts w:ascii="宋体" w:hAnsi="宋体" w:eastAsia="宋体"/>
                <w:sz w:val="16"/>
              </w:rPr>
              <w:t>审判执行中心工作顺利开展；</w:t>
            </w:r>
            <w:r>
              <w:rPr>
                <w:rFonts w:ascii="宋体" w:hAnsi="宋体" w:eastAsia="宋体"/>
                <w:sz w:val="16"/>
              </w:rPr>
              <w:br w:type="textWrapping"/>
            </w:r>
            <w:r>
              <w:rPr>
                <w:rFonts w:ascii="宋体" w:hAnsi="宋体" w:eastAsia="宋体"/>
                <w:sz w:val="16"/>
              </w:rPr>
              <w:br w:type="textWrapping"/>
            </w:r>
            <w:r>
              <w:rPr>
                <w:rFonts w:ascii="宋体" w:hAnsi="宋体" w:eastAsia="宋体"/>
                <w:sz w:val="16"/>
              </w:rPr>
              <w:t>目标2：提升法院装备，提高法院刑事案件、民商事案件、行政案件等案件审判公平正义，坚持司法为民，公正司法，保护人民群众合法权益；</w:t>
            </w:r>
            <w:r>
              <w:rPr>
                <w:rFonts w:ascii="宋体" w:hAnsi="宋体" w:eastAsia="宋体"/>
                <w:sz w:val="16"/>
              </w:rPr>
              <w:br w:type="textWrapping"/>
            </w:r>
            <w:r>
              <w:rPr>
                <w:rFonts w:ascii="宋体" w:hAnsi="宋体" w:eastAsia="宋体"/>
                <w:sz w:val="16"/>
              </w:rPr>
              <w:br w:type="textWrapping"/>
            </w:r>
            <w:r>
              <w:rPr>
                <w:rFonts w:ascii="宋体" w:hAnsi="宋体" w:eastAsia="宋体"/>
                <w:sz w:val="16"/>
              </w:rPr>
              <w:t>目标3：提高法院信息化整体应用水平，推进智慧法院项目实施，确保全区在高院部署的信</w:t>
            </w:r>
            <w:r>
              <w:rPr>
                <w:rFonts w:hint="eastAsia" w:ascii="宋体" w:hAnsi="宋体"/>
                <w:sz w:val="16"/>
                <w:lang w:eastAsia="zh-CN"/>
              </w:rPr>
              <w:t>息化</w:t>
            </w:r>
            <w:r>
              <w:rPr>
                <w:rFonts w:ascii="宋体" w:hAnsi="宋体" w:eastAsia="宋体"/>
                <w:sz w:val="16"/>
              </w:rPr>
              <w:t>项目稳步推进。</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F8FC62">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全年预算数为2655.73万元，全年执行数为2581.66万元，总预算执行率为97.21%。2024年</w:t>
            </w:r>
            <w:r>
              <w:rPr>
                <w:rFonts w:hint="eastAsia" w:ascii="宋体" w:hAnsi="宋体"/>
                <w:sz w:val="16"/>
                <w:lang w:eastAsia="zh-CN"/>
              </w:rPr>
              <w:t>本单位</w:t>
            </w:r>
            <w:r>
              <w:rPr>
                <w:rFonts w:ascii="宋体" w:hAnsi="宋体" w:eastAsia="宋体"/>
                <w:sz w:val="16"/>
              </w:rPr>
              <w:t>完成以下工作内容：达到按照法定规定时间审理指定管辖的刑事、民事、行政等一审案件的预期目标；以及法院执行工作、审判工作效果指标；达到审结案件数量与受理案件数量良性发展态势的预期目标。通过以上工作的实施，维护了</w:t>
            </w:r>
            <w:r>
              <w:rPr>
                <w:rFonts w:hint="eastAsia" w:ascii="宋体" w:hAnsi="宋体"/>
                <w:sz w:val="16"/>
                <w:lang w:eastAsia="zh-CN"/>
              </w:rPr>
              <w:t>社会公平正义</w:t>
            </w:r>
            <w:r>
              <w:rPr>
                <w:rFonts w:ascii="宋体" w:hAnsi="宋体" w:eastAsia="宋体"/>
                <w:sz w:val="16"/>
              </w:rPr>
              <w:t>的社会效益</w:t>
            </w:r>
          </w:p>
        </w:tc>
      </w:tr>
      <w:tr w14:paraId="11D1E42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1D6F8">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8212D4">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A225EA">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A8B102">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9641C4">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F52711">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9394F4">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DBAAF8">
            <w:pPr>
              <w:jc w:val="center"/>
            </w:pPr>
            <w:r>
              <w:rPr>
                <w:rFonts w:ascii="宋体" w:hAnsi="宋体" w:eastAsia="宋体"/>
                <w:sz w:val="16"/>
              </w:rPr>
              <w:t>得分</w:t>
            </w:r>
          </w:p>
        </w:tc>
      </w:tr>
      <w:tr w14:paraId="478FA488">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2356C">
            <w:pPr>
              <w:jc w:val="center"/>
            </w:pPr>
            <w:r>
              <w:rPr>
                <w:rFonts w:ascii="宋体" w:hAnsi="宋体" w:eastAsia="宋体"/>
                <w:sz w:val="16"/>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2DB253">
            <w:pPr>
              <w:jc w:val="center"/>
            </w:pPr>
            <w:r>
              <w:rPr>
                <w:rFonts w:ascii="宋体" w:hAnsi="宋体" w:eastAsia="宋体"/>
                <w:sz w:val="16"/>
              </w:rPr>
              <w:t>时效指标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286FE8">
            <w:pPr>
              <w:jc w:val="center"/>
            </w:pPr>
            <w:r>
              <w:rPr>
                <w:rFonts w:ascii="宋体" w:hAnsi="宋体" w:eastAsia="宋体"/>
                <w:sz w:val="16"/>
              </w:rPr>
              <w:t>法定审限期内结案率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463F8F">
            <w:pPr>
              <w:jc w:val="center"/>
            </w:pPr>
            <w:r>
              <w:rPr>
                <w:rFonts w:ascii="宋体" w:hAnsi="宋体" w:eastAsia="宋体"/>
                <w:sz w:val="16"/>
              </w:rPr>
              <w:t>&gt;93%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81D8AC">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BC2C0">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6FA621">
            <w:pPr>
              <w:jc w:val="center"/>
            </w:pPr>
            <w:r>
              <w:rPr>
                <w:rFonts w:ascii="宋体" w:hAnsi="宋体" w:eastAsia="宋体"/>
                <w:sz w:val="16"/>
              </w:rPr>
              <w:t>99.26%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F49A97">
            <w:pPr>
              <w:jc w:val="center"/>
            </w:pPr>
            <w:r>
              <w:rPr>
                <w:rFonts w:ascii="宋体" w:hAnsi="宋体" w:eastAsia="宋体"/>
                <w:sz w:val="16"/>
              </w:rPr>
              <w:t>20</w:t>
            </w:r>
          </w:p>
        </w:tc>
      </w:tr>
      <w:tr w14:paraId="1D0A528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8D7164"/>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476345">
            <w:pPr>
              <w:jc w:val="center"/>
            </w:pPr>
            <w:r>
              <w:rPr>
                <w:rFonts w:ascii="宋体" w:hAnsi="宋体" w:eastAsia="宋体"/>
                <w:sz w:val="16"/>
              </w:rPr>
              <w:t>质量指标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4749E2">
            <w:pPr>
              <w:jc w:val="center"/>
            </w:pPr>
            <w:r>
              <w:rPr>
                <w:rFonts w:ascii="宋体" w:hAnsi="宋体" w:eastAsia="宋体"/>
                <w:sz w:val="16"/>
              </w:rPr>
              <w:t>民商事案件调解率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AD585B">
            <w:pPr>
              <w:jc w:val="center"/>
            </w:pPr>
            <w:r>
              <w:rPr>
                <w:rFonts w:ascii="宋体" w:hAnsi="宋体" w:eastAsia="宋体"/>
                <w:sz w:val="16"/>
              </w:rPr>
              <w:t>&gt;=25%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B10331">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A6DA10">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6C2803">
            <w:pPr>
              <w:jc w:val="center"/>
            </w:pPr>
            <w:r>
              <w:rPr>
                <w:rFonts w:ascii="宋体" w:hAnsi="宋体" w:eastAsia="宋体"/>
                <w:sz w:val="16"/>
              </w:rPr>
              <w:t>28.49%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3BE90E">
            <w:pPr>
              <w:jc w:val="center"/>
            </w:pPr>
            <w:r>
              <w:rPr>
                <w:rFonts w:ascii="宋体" w:hAnsi="宋体" w:eastAsia="宋体"/>
                <w:sz w:val="16"/>
              </w:rPr>
              <w:t>10</w:t>
            </w:r>
          </w:p>
        </w:tc>
      </w:tr>
      <w:tr w14:paraId="3FC5F2B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829998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9FE4D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A64F32">
            <w:pPr>
              <w:jc w:val="center"/>
            </w:pPr>
            <w:r>
              <w:rPr>
                <w:rFonts w:ascii="宋体" w:hAnsi="宋体" w:eastAsia="宋体"/>
                <w:sz w:val="16"/>
              </w:rPr>
              <w:t>裁定再审率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596AD5">
            <w:pPr>
              <w:jc w:val="center"/>
            </w:pPr>
            <w:r>
              <w:rPr>
                <w:rFonts w:ascii="宋体" w:hAnsi="宋体" w:eastAsia="宋体"/>
                <w:sz w:val="16"/>
              </w:rPr>
              <w:t>&lt;=4.84%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3ECCC3">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E8F1E9">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A1FDD7">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F7DAED">
            <w:pPr>
              <w:jc w:val="center"/>
            </w:pPr>
            <w:r>
              <w:rPr>
                <w:rFonts w:ascii="宋体" w:hAnsi="宋体" w:eastAsia="宋体"/>
                <w:sz w:val="16"/>
              </w:rPr>
              <w:t>10</w:t>
            </w:r>
          </w:p>
        </w:tc>
      </w:tr>
      <w:tr w14:paraId="580CB8CA">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42761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21E91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CA6BC">
            <w:pPr>
              <w:jc w:val="center"/>
            </w:pPr>
            <w:r>
              <w:rPr>
                <w:rFonts w:ascii="宋体" w:hAnsi="宋体" w:eastAsia="宋体"/>
                <w:sz w:val="16"/>
              </w:rPr>
              <w:t>执行完毕率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AEACC1">
            <w:pPr>
              <w:jc w:val="center"/>
            </w:pPr>
            <w:r>
              <w:rPr>
                <w:rFonts w:ascii="宋体" w:hAnsi="宋体" w:eastAsia="宋体"/>
                <w:sz w:val="16"/>
              </w:rPr>
              <w:t>&gt;=32.22%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B8088">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D167F8">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2B206">
            <w:pPr>
              <w:jc w:val="center"/>
            </w:pPr>
            <w:r>
              <w:rPr>
                <w:rFonts w:ascii="宋体" w:hAnsi="宋体" w:eastAsia="宋体"/>
                <w:sz w:val="16"/>
              </w:rPr>
              <w:t>34.09%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14005C">
            <w:pPr>
              <w:jc w:val="center"/>
            </w:pPr>
            <w:r>
              <w:rPr>
                <w:rFonts w:ascii="宋体" w:hAnsi="宋体" w:eastAsia="宋体"/>
                <w:sz w:val="16"/>
              </w:rPr>
              <w:t>10</w:t>
            </w:r>
          </w:p>
        </w:tc>
      </w:tr>
      <w:tr w14:paraId="5A5C1D9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CF8CF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036AB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13C504">
            <w:pPr>
              <w:jc w:val="center"/>
            </w:pPr>
            <w:r>
              <w:rPr>
                <w:rFonts w:ascii="宋体" w:hAnsi="宋体" w:eastAsia="宋体"/>
                <w:sz w:val="16"/>
              </w:rPr>
              <w:t>申诉申请再审率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764229">
            <w:pPr>
              <w:jc w:val="center"/>
            </w:pPr>
            <w:r>
              <w:rPr>
                <w:rFonts w:ascii="宋体" w:hAnsi="宋体" w:eastAsia="宋体"/>
                <w:sz w:val="16"/>
              </w:rPr>
              <w:t>&lt;=1.64%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466589">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ACE913">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0A165F">
            <w:pPr>
              <w:jc w:val="center"/>
            </w:pPr>
            <w:r>
              <w:rPr>
                <w:rFonts w:ascii="宋体" w:hAnsi="宋体" w:eastAsia="宋体"/>
                <w:sz w:val="16"/>
              </w:rPr>
              <w:t>0.032%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8D34D7">
            <w:pPr>
              <w:jc w:val="center"/>
            </w:pPr>
            <w:r>
              <w:rPr>
                <w:rFonts w:ascii="宋体" w:hAnsi="宋体" w:eastAsia="宋体"/>
                <w:sz w:val="16"/>
              </w:rPr>
              <w:t>10</w:t>
            </w:r>
          </w:p>
        </w:tc>
      </w:tr>
      <w:tr w14:paraId="480AE88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F903A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D6AA0D"/>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E2DE4">
            <w:pPr>
              <w:jc w:val="center"/>
            </w:pPr>
            <w:r>
              <w:rPr>
                <w:rFonts w:ascii="宋体" w:hAnsi="宋体" w:eastAsia="宋体"/>
                <w:sz w:val="16"/>
              </w:rPr>
              <w:t>结收比</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D864B3">
            <w:pPr>
              <w:jc w:val="center"/>
            </w:pPr>
            <w:r>
              <w:rPr>
                <w:rFonts w:ascii="宋体" w:hAnsi="宋体" w:eastAsia="宋体"/>
                <w:sz w:val="16"/>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444CBB">
            <w:pPr>
              <w:jc w:val="center"/>
            </w:pPr>
            <w:r>
              <w:rPr>
                <w:rFonts w:ascii="宋体" w:hAnsi="宋体" w:eastAsia="宋体"/>
                <w:sz w:val="16"/>
              </w:rPr>
              <w:t>昌吉州基层法院考核办法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06850A">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0EB926">
            <w:pPr>
              <w:jc w:val="center"/>
            </w:pPr>
            <w:r>
              <w:rPr>
                <w:rFonts w:ascii="宋体" w:hAnsi="宋体" w:eastAsia="宋体"/>
                <w:sz w:val="16"/>
              </w:rPr>
              <w:t>100.6%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09FB6A">
            <w:pPr>
              <w:jc w:val="center"/>
            </w:pPr>
            <w:r>
              <w:rPr>
                <w:rFonts w:ascii="宋体" w:hAnsi="宋体" w:eastAsia="宋体"/>
                <w:sz w:val="16"/>
              </w:rPr>
              <w:t>10</w:t>
            </w:r>
          </w:p>
        </w:tc>
      </w:tr>
    </w:tbl>
    <w:p w14:paraId="0D053821">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32"/>
        <w:gridCol w:w="632"/>
        <w:gridCol w:w="632"/>
        <w:gridCol w:w="632"/>
        <w:gridCol w:w="632"/>
        <w:gridCol w:w="632"/>
      </w:tblGrid>
      <w:tr w14:paraId="4D8BEAAB">
        <w:tblPrEx>
          <w:tblCellMar>
            <w:top w:w="0" w:type="dxa"/>
            <w:left w:w="108" w:type="dxa"/>
            <w:bottom w:w="0" w:type="dxa"/>
            <w:right w:w="108" w:type="dxa"/>
          </w:tblCellMar>
        </w:tblPrEx>
        <w:tc>
          <w:tcPr>
            <w:tcW w:w="8848" w:type="dxa"/>
            <w:gridSpan w:val="14"/>
            <w:vAlign w:val="center"/>
          </w:tcPr>
          <w:p w14:paraId="2E03134B">
            <w:pPr>
              <w:jc w:val="center"/>
            </w:pPr>
            <w:r>
              <w:rPr>
                <w:rFonts w:ascii="宋体" w:hAnsi="宋体" w:eastAsia="宋体"/>
                <w:sz w:val="24"/>
              </w:rPr>
              <w:t>项目支出绩效自评表</w:t>
            </w:r>
          </w:p>
        </w:tc>
      </w:tr>
      <w:tr w14:paraId="492FDB47">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406BDA">
            <w:pPr>
              <w:jc w:val="center"/>
            </w:pPr>
            <w:r>
              <w:rPr>
                <w:rFonts w:ascii="宋体" w:hAnsi="宋体" w:eastAsia="宋体"/>
                <w:sz w:val="24"/>
              </w:rPr>
              <w:t>(2024年度)</w:t>
            </w:r>
          </w:p>
        </w:tc>
      </w:tr>
      <w:tr w14:paraId="72854CD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171DAD">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2389F50">
            <w:pPr>
              <w:jc w:val="center"/>
            </w:pPr>
            <w:r>
              <w:rPr>
                <w:rFonts w:ascii="宋体" w:hAnsi="宋体" w:eastAsia="宋体"/>
                <w:sz w:val="16"/>
              </w:rPr>
              <w:t>2023年为民办实事经费</w:t>
            </w:r>
          </w:p>
        </w:tc>
      </w:tr>
      <w:tr w14:paraId="07748DA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DAC5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8D8BE9">
            <w:pPr>
              <w:jc w:val="center"/>
            </w:pPr>
            <w:r>
              <w:rPr>
                <w:rFonts w:ascii="宋体" w:hAnsi="宋体" w:eastAsia="宋体"/>
                <w:sz w:val="16"/>
              </w:rPr>
              <w:t>奇台县人民法院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9E038">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F287E4">
            <w:pPr>
              <w:jc w:val="center"/>
            </w:pPr>
            <w:r>
              <w:rPr>
                <w:rFonts w:ascii="宋体" w:hAnsi="宋体" w:eastAsia="宋体"/>
                <w:sz w:val="16"/>
              </w:rPr>
              <w:t>奇台县人民法院</w:t>
            </w:r>
          </w:p>
        </w:tc>
      </w:tr>
      <w:tr w14:paraId="7C99400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4F6364">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4CA759">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28CCE">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79CC5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2B1851">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ABDD9E">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879C9">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D9A201">
            <w:pPr>
              <w:jc w:val="center"/>
            </w:pPr>
            <w:r>
              <w:rPr>
                <w:rFonts w:ascii="宋体" w:hAnsi="宋体" w:eastAsia="宋体"/>
                <w:sz w:val="16"/>
              </w:rPr>
              <w:t>得分</w:t>
            </w:r>
          </w:p>
        </w:tc>
      </w:tr>
      <w:tr w14:paraId="2C2C1CD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6DC97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753587">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24197">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3525A1">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AC4540">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FC0FB3">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A08F26">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ECEBFA">
            <w:pPr>
              <w:jc w:val="center"/>
            </w:pPr>
            <w:r>
              <w:rPr>
                <w:rFonts w:ascii="宋体" w:hAnsi="宋体" w:eastAsia="宋体"/>
                <w:sz w:val="16"/>
              </w:rPr>
              <w:t>10.00</w:t>
            </w:r>
          </w:p>
        </w:tc>
      </w:tr>
      <w:tr w14:paraId="5A68490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28594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FD6B57">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46341">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2C7C6">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62680E">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7485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CCF61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46633">
            <w:pPr>
              <w:jc w:val="center"/>
            </w:pPr>
            <w:r>
              <w:rPr>
                <w:rFonts w:ascii="宋体" w:hAnsi="宋体" w:eastAsia="宋体"/>
                <w:sz w:val="16"/>
              </w:rPr>
              <w:t>—</w:t>
            </w:r>
          </w:p>
        </w:tc>
      </w:tr>
      <w:tr w14:paraId="6E63BE8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24902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E75DB0">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4248E4">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6852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506E8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2730B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81ADE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CAA2C5">
            <w:pPr>
              <w:jc w:val="center"/>
            </w:pPr>
            <w:r>
              <w:rPr>
                <w:rFonts w:ascii="宋体" w:hAnsi="宋体" w:eastAsia="宋体"/>
                <w:sz w:val="16"/>
              </w:rPr>
              <w:t>—</w:t>
            </w:r>
          </w:p>
        </w:tc>
      </w:tr>
      <w:tr w14:paraId="0E7FC3A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5EC3FD">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34FB3A">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005C14">
            <w:pPr>
              <w:jc w:val="center"/>
            </w:pPr>
            <w:r>
              <w:rPr>
                <w:rFonts w:ascii="宋体" w:hAnsi="宋体" w:eastAsia="宋体"/>
                <w:sz w:val="16"/>
              </w:rPr>
              <w:t>实际完成情况</w:t>
            </w:r>
          </w:p>
        </w:tc>
      </w:tr>
      <w:tr w14:paraId="3CDB4F5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F00492"/>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F948A7">
            <w:pPr>
              <w:jc w:val="both"/>
            </w:pPr>
            <w:r>
              <w:rPr>
                <w:rFonts w:ascii="宋体" w:hAnsi="宋体" w:eastAsia="宋体"/>
                <w:sz w:val="16"/>
              </w:rPr>
              <w:t>为深入贯彻落实党的二十大、习近平总书记视察新疆重要讲话重要指示和第三次中央新疆工作座谈会精神，</w:t>
            </w:r>
            <w:r>
              <w:rPr>
                <w:rFonts w:hint="eastAsia" w:ascii="宋体" w:hAnsi="宋体"/>
                <w:sz w:val="16"/>
                <w:lang w:eastAsia="zh-CN"/>
              </w:rPr>
              <w:t>完整准确全面贯彻新时代党的治疆方略</w:t>
            </w:r>
            <w:r>
              <w:rPr>
                <w:rFonts w:ascii="宋体" w:hAnsi="宋体" w:eastAsia="宋体"/>
                <w:sz w:val="16"/>
              </w:rPr>
              <w:t>，持续强化新时代“访民情、惠民生、聚民心”驻村工作，坚持以</w:t>
            </w:r>
            <w:r>
              <w:rPr>
                <w:rFonts w:hint="eastAsia" w:ascii="宋体" w:hAnsi="宋体"/>
                <w:sz w:val="16"/>
                <w:lang w:val="en-US" w:eastAsia="zh-CN"/>
              </w:rPr>
              <w:t>为民办实事</w:t>
            </w:r>
            <w:r>
              <w:rPr>
                <w:rFonts w:ascii="宋体" w:hAnsi="宋体" w:eastAsia="宋体"/>
                <w:sz w:val="16"/>
              </w:rPr>
              <w:t>四项重点任务为主线，以创建“五个好”标准化规范化党组织和打造</w:t>
            </w:r>
            <w:r>
              <w:rPr>
                <w:rFonts w:hint="eastAsia" w:ascii="宋体" w:hAnsi="宋体"/>
                <w:sz w:val="16"/>
                <w:lang w:eastAsia="zh-CN"/>
              </w:rPr>
              <w:t>“石榴籽”</w:t>
            </w:r>
            <w:r>
              <w:rPr>
                <w:rFonts w:ascii="宋体" w:hAnsi="宋体" w:eastAsia="宋体"/>
                <w:sz w:val="16"/>
              </w:rPr>
              <w:t>服务站为契机，全面打造民富村强的美丽村庄。</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ABB7F09">
            <w:pPr>
              <w:jc w:val="both"/>
            </w:pPr>
            <w:r>
              <w:rPr>
                <w:rFonts w:hint="eastAsia" w:ascii="宋体" w:hAnsi="宋体"/>
                <w:sz w:val="16"/>
                <w:lang w:eastAsia="zh-CN"/>
              </w:rPr>
              <w:t>截至</w:t>
            </w:r>
            <w:r>
              <w:rPr>
                <w:rFonts w:ascii="宋体" w:hAnsi="宋体" w:eastAsia="宋体"/>
                <w:sz w:val="16"/>
              </w:rPr>
              <w:t>2024年12月31日，该项目实际完成打造宣传阵地3处，采购积分超市物品种类为6种，购置成本1万元，维修房屋2次，维修成本5万元，打造片组宣传阵地3处，成本1万元，均通过政府采购手续，政府采购率100%，已达到预期指标，通过该项目的实施，提升了2024年我院准确贯彻新时代党的治疆方略，持续强化新时代“访民情、惠民生、聚民心”驻村工作，有效解决群众生活中的实际困难。</w:t>
            </w:r>
          </w:p>
        </w:tc>
      </w:tr>
      <w:tr w14:paraId="4D6EC66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71D1AEB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C80309">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6470DB">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BBF79E">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677B77">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13B566">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0450F3">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B3E00F">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7DB733">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C43CF0">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6F0F87">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ADE535">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0E19CD">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9CA5A1">
            <w:pPr>
              <w:jc w:val="center"/>
            </w:pPr>
            <w:r>
              <w:rPr>
                <w:rFonts w:ascii="宋体" w:hAnsi="宋体" w:eastAsia="宋体"/>
                <w:sz w:val="16"/>
              </w:rPr>
              <w:t>偏差原因分析及改进措施</w:t>
            </w:r>
          </w:p>
        </w:tc>
      </w:tr>
      <w:tr w14:paraId="77D5A16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70F72">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B72EBE">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F5FBA7">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7B91A7">
            <w:pPr>
              <w:jc w:val="center"/>
            </w:pPr>
            <w:r>
              <w:rPr>
                <w:rFonts w:ascii="宋体" w:hAnsi="宋体" w:eastAsia="宋体"/>
                <w:sz w:val="16"/>
              </w:rPr>
              <w:t>购置积分超市物品种类</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2C956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458468">
            <w:pPr>
              <w:jc w:val="center"/>
            </w:pPr>
            <w:r>
              <w:rPr>
                <w:rFonts w:ascii="宋体" w:hAnsi="宋体" w:eastAsia="宋体"/>
                <w:sz w:val="16"/>
              </w:rPr>
              <w:t>&gt;=5种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DDB931">
            <w:pPr>
              <w:jc w:val="center"/>
            </w:pPr>
            <w:r>
              <w:rPr>
                <w:rFonts w:ascii="宋体" w:hAnsi="宋体" w:eastAsia="宋体"/>
                <w:sz w:val="16"/>
              </w:rPr>
              <w:t>=6种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01BE4">
            <w:pPr>
              <w:jc w:val="center"/>
            </w:pPr>
            <w:r>
              <w:rPr>
                <w:rFonts w:ascii="宋体" w:hAnsi="宋体" w:eastAsia="宋体"/>
                <w:sz w:val="16"/>
              </w:rPr>
              <w:t>120%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7A812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D89A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18D7F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5CC18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36F77C">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5125AB">
            <w:pPr>
              <w:jc w:val="center"/>
            </w:pPr>
            <w:r>
              <w:rPr>
                <w:rFonts w:ascii="宋体" w:hAnsi="宋体" w:eastAsia="宋体"/>
                <w:sz w:val="16"/>
              </w:rPr>
              <w:t>年初为民办实事经费计划未做到具体细化，采购物品种类不精准，造成偏差</w:t>
            </w:r>
          </w:p>
        </w:tc>
      </w:tr>
      <w:tr w14:paraId="2617C54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3F37A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12CEB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C93DB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362143">
            <w:pPr>
              <w:jc w:val="center"/>
            </w:pPr>
            <w:r>
              <w:rPr>
                <w:rFonts w:ascii="宋体" w:hAnsi="宋体" w:eastAsia="宋体"/>
                <w:sz w:val="16"/>
              </w:rPr>
              <w:t>修理房屋</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F4EFA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8853C9">
            <w:pPr>
              <w:jc w:val="center"/>
            </w:pPr>
            <w:r>
              <w:rPr>
                <w:rFonts w:ascii="宋体" w:hAnsi="宋体" w:eastAsia="宋体"/>
                <w:sz w:val="16"/>
              </w:rPr>
              <w:t>&gt;=2次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A6AF05">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04858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D7029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EBB3C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569B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39FD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E37BD8">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B5D3FC">
            <w:pPr>
              <w:jc w:val="center"/>
            </w:pPr>
          </w:p>
        </w:tc>
      </w:tr>
      <w:tr w14:paraId="7BB32C9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D7CBD4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3B88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6D0427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B78F17">
            <w:pPr>
              <w:jc w:val="center"/>
            </w:pPr>
            <w:r>
              <w:rPr>
                <w:rFonts w:ascii="宋体" w:hAnsi="宋体" w:eastAsia="宋体"/>
                <w:sz w:val="16"/>
              </w:rPr>
              <w:t>打造片组宣传阵地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9C090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5F0D3E">
            <w:pPr>
              <w:jc w:val="center"/>
            </w:pPr>
            <w:r>
              <w:rPr>
                <w:rFonts w:ascii="宋体" w:hAnsi="宋体" w:eastAsia="宋体"/>
                <w:sz w:val="16"/>
              </w:rPr>
              <w:t>&gt;=3处</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93A38B">
            <w:pPr>
              <w:jc w:val="center"/>
            </w:pPr>
            <w:r>
              <w:rPr>
                <w:rFonts w:ascii="宋体" w:hAnsi="宋体" w:eastAsia="宋体"/>
                <w:sz w:val="16"/>
              </w:rPr>
              <w:t>=3处</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BBEE4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C89D3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0DCEE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E36FA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F3CC3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8A917">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4B1C77">
            <w:pPr>
              <w:jc w:val="center"/>
            </w:pPr>
          </w:p>
        </w:tc>
      </w:tr>
      <w:tr w14:paraId="7428049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C7B0E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217095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7B92A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FC68C">
            <w:pPr>
              <w:jc w:val="center"/>
            </w:pPr>
            <w:r>
              <w:rPr>
                <w:rFonts w:ascii="宋体" w:hAnsi="宋体" w:eastAsia="宋体"/>
                <w:sz w:val="16"/>
              </w:rPr>
              <w:t>政府采购率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C26FF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28DBA0">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C60BB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C718FB">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92A7A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BDF73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9A682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6315B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67001">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45AC24">
            <w:pPr>
              <w:jc w:val="center"/>
            </w:pPr>
            <w:r>
              <w:rPr>
                <w:rFonts w:ascii="宋体" w:hAnsi="宋体" w:eastAsia="宋体"/>
                <w:sz w:val="16"/>
              </w:rPr>
              <w:t>2023年为民办实事经费结转7万元均通过政采云签订合同，由于年初设定指标不规范，造成偏差</w:t>
            </w:r>
          </w:p>
        </w:tc>
      </w:tr>
      <w:tr w14:paraId="7FFA9A9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D339F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93F6D7">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4911F8">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980DE1">
            <w:pPr>
              <w:jc w:val="center"/>
            </w:pPr>
            <w:r>
              <w:rPr>
                <w:rFonts w:ascii="宋体" w:hAnsi="宋体" w:eastAsia="宋体"/>
                <w:sz w:val="16"/>
              </w:rPr>
              <w:t>修理房屋成本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EABB7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6A01CE">
            <w:pPr>
              <w:jc w:val="center"/>
            </w:pPr>
            <w:r>
              <w:rPr>
                <w:rFonts w:ascii="宋体" w:hAnsi="宋体" w:eastAsia="宋体"/>
                <w:sz w:val="16"/>
              </w:rPr>
              <w:t>&lt;=5万元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C8E7CA">
            <w:pPr>
              <w:jc w:val="center"/>
            </w:pPr>
            <w:r>
              <w:rPr>
                <w:rFonts w:ascii="宋体" w:hAnsi="宋体" w:eastAsia="宋体"/>
                <w:sz w:val="16"/>
              </w:rPr>
              <w:t>=5万元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F1634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76EE6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DECCF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7B3F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7FA6E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4BF0F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5720DC">
            <w:pPr>
              <w:jc w:val="center"/>
            </w:pPr>
          </w:p>
        </w:tc>
      </w:tr>
      <w:tr w14:paraId="54D2B32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D9C0A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4354A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6D34A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37455B">
            <w:pPr>
              <w:jc w:val="center"/>
            </w:pPr>
            <w:r>
              <w:rPr>
                <w:rFonts w:ascii="宋体" w:hAnsi="宋体" w:eastAsia="宋体"/>
                <w:sz w:val="16"/>
              </w:rPr>
              <w:t>打造积分超市成本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59E5C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B9AA86">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1E9651">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DCA25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20642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26BE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8D414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49F4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EE6B5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14D9B6">
            <w:pPr>
              <w:jc w:val="center"/>
            </w:pPr>
          </w:p>
        </w:tc>
      </w:tr>
      <w:tr w14:paraId="0E8E3EC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60FCD6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44060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1F786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1A8512">
            <w:pPr>
              <w:jc w:val="center"/>
            </w:pPr>
            <w:r>
              <w:rPr>
                <w:rFonts w:ascii="宋体" w:hAnsi="宋体" w:eastAsia="宋体"/>
                <w:sz w:val="16"/>
              </w:rPr>
              <w:t>打造片组宣传阵地成本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F64EC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04621">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15B2FF">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F3B03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6EBFD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75867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2E2F6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E2381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3D8690">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F1FD0A">
            <w:pPr>
              <w:jc w:val="center"/>
            </w:pPr>
          </w:p>
        </w:tc>
      </w:tr>
      <w:tr w14:paraId="26A083D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378E2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80C061">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077A77">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BB2AB1">
            <w:pPr>
              <w:jc w:val="center"/>
            </w:pPr>
            <w:r>
              <w:rPr>
                <w:rFonts w:ascii="宋体" w:hAnsi="宋体" w:eastAsia="宋体"/>
                <w:sz w:val="16"/>
              </w:rPr>
              <w:t>解决群众生活中实际困难</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97347B">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B9E4C8">
            <w:pPr>
              <w:jc w:val="center"/>
            </w:pPr>
            <w:r>
              <w:rPr>
                <w:rFonts w:ascii="宋体" w:hAnsi="宋体" w:eastAsia="宋体"/>
                <w:sz w:val="16"/>
              </w:rPr>
              <w:t>有效解决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D2F2D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9C0F9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AF70BE">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3DC47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F2A1D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C0C2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3C0BFC">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F32F72">
            <w:pPr>
              <w:jc w:val="center"/>
            </w:pPr>
          </w:p>
        </w:tc>
      </w:tr>
      <w:tr w14:paraId="2B7B1305">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90898D">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C96E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773045D"/>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A6005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8DC22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BD94DF">
            <w:pPr>
              <w:jc w:val="center"/>
            </w:pPr>
            <w:r>
              <w:rPr>
                <w:rFonts w:ascii="宋体" w:hAnsi="宋体" w:eastAsia="宋体"/>
                <w:sz w:val="16"/>
              </w:rPr>
              <w:t>98.00分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9F796F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729C5E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E763B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DB6525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39A905C"/>
        </w:tc>
      </w:tr>
    </w:tbl>
    <w:p w14:paraId="29CE2835">
      <w:r>
        <w:br w:type="page"/>
      </w:r>
    </w:p>
    <w:tbl>
      <w:tblPr>
        <w:tblStyle w:val="9"/>
        <w:tblW w:w="9224" w:type="dxa"/>
        <w:tblInd w:w="0" w:type="dxa"/>
        <w:tblLayout w:type="autofit"/>
        <w:tblCellMar>
          <w:top w:w="0" w:type="dxa"/>
          <w:left w:w="108" w:type="dxa"/>
          <w:bottom w:w="0" w:type="dxa"/>
          <w:right w:w="108" w:type="dxa"/>
        </w:tblCellMar>
      </w:tblPr>
      <w:tblGrid>
        <w:gridCol w:w="621"/>
        <w:gridCol w:w="607"/>
        <w:gridCol w:w="607"/>
        <w:gridCol w:w="607"/>
        <w:gridCol w:w="615"/>
        <w:gridCol w:w="776"/>
        <w:gridCol w:w="696"/>
        <w:gridCol w:w="776"/>
        <w:gridCol w:w="630"/>
        <w:gridCol w:w="607"/>
        <w:gridCol w:w="607"/>
        <w:gridCol w:w="608"/>
        <w:gridCol w:w="607"/>
        <w:gridCol w:w="860"/>
      </w:tblGrid>
      <w:tr w14:paraId="721BC8F7">
        <w:tc>
          <w:tcPr>
            <w:tcW w:w="9224" w:type="dxa"/>
            <w:gridSpan w:val="14"/>
            <w:vAlign w:val="center"/>
          </w:tcPr>
          <w:p w14:paraId="52E636C9">
            <w:pPr>
              <w:jc w:val="center"/>
            </w:pPr>
            <w:r>
              <w:rPr>
                <w:rFonts w:ascii="宋体" w:hAnsi="宋体" w:eastAsia="宋体"/>
                <w:sz w:val="24"/>
              </w:rPr>
              <w:t>项目支出绩效自评表</w:t>
            </w:r>
          </w:p>
        </w:tc>
      </w:tr>
      <w:tr w14:paraId="348ABED5">
        <w:tblPrEx>
          <w:tblCellMar>
            <w:top w:w="0" w:type="dxa"/>
            <w:left w:w="108" w:type="dxa"/>
            <w:bottom w:w="0" w:type="dxa"/>
            <w:right w:w="108" w:type="dxa"/>
          </w:tblCellMar>
        </w:tblPrEx>
        <w:tc>
          <w:tcPr>
            <w:tcW w:w="9224"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620BF1">
            <w:pPr>
              <w:jc w:val="center"/>
            </w:pPr>
            <w:r>
              <w:rPr>
                <w:rFonts w:ascii="宋体" w:hAnsi="宋体" w:eastAsia="宋体"/>
                <w:sz w:val="24"/>
              </w:rPr>
              <w:t>(2024年度)</w:t>
            </w:r>
          </w:p>
        </w:tc>
      </w:tr>
      <w:tr w14:paraId="093FE2CF">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vAlign w:val="center"/>
          </w:tcPr>
          <w:p w14:paraId="37E12425">
            <w:pPr>
              <w:jc w:val="center"/>
            </w:pPr>
            <w:r>
              <w:rPr>
                <w:rFonts w:ascii="宋体" w:hAnsi="宋体" w:eastAsia="宋体"/>
                <w:sz w:val="16"/>
              </w:rPr>
              <w:t>项目名称</w:t>
            </w:r>
          </w:p>
        </w:tc>
        <w:tc>
          <w:tcPr>
            <w:tcW w:w="8603"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C40A417">
            <w:pPr>
              <w:jc w:val="center"/>
            </w:pPr>
            <w:r>
              <w:rPr>
                <w:rFonts w:ascii="宋体" w:hAnsi="宋体" w:eastAsia="宋体"/>
                <w:sz w:val="16"/>
              </w:rPr>
              <w:t>机关运行补助（自有资金）</w:t>
            </w:r>
          </w:p>
        </w:tc>
      </w:tr>
      <w:tr w14:paraId="7866DA07">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vAlign w:val="center"/>
          </w:tcPr>
          <w:p w14:paraId="7CFA90EE">
            <w:pPr>
              <w:jc w:val="center"/>
            </w:pPr>
            <w:r>
              <w:rPr>
                <w:rFonts w:ascii="宋体" w:hAnsi="宋体" w:eastAsia="宋体"/>
                <w:sz w:val="16"/>
              </w:rPr>
              <w:t>主管部门</w:t>
            </w:r>
          </w:p>
        </w:tc>
        <w:tc>
          <w:tcPr>
            <w:tcW w:w="468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9D1D69">
            <w:pPr>
              <w:jc w:val="center"/>
            </w:pPr>
            <w:r>
              <w:rPr>
                <w:rFonts w:ascii="宋体" w:hAnsi="宋体" w:eastAsia="宋体"/>
                <w:sz w:val="16"/>
              </w:rPr>
              <w:t>奇台县人民法院</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604EAF7E">
            <w:pPr>
              <w:jc w:val="center"/>
            </w:pPr>
            <w:r>
              <w:rPr>
                <w:rFonts w:ascii="宋体" w:hAnsi="宋体" w:eastAsia="宋体"/>
                <w:sz w:val="16"/>
              </w:rPr>
              <w:t>实施单位</w:t>
            </w:r>
          </w:p>
        </w:tc>
        <w:tc>
          <w:tcPr>
            <w:tcW w:w="328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4B8C8B">
            <w:pPr>
              <w:jc w:val="center"/>
            </w:pPr>
            <w:r>
              <w:rPr>
                <w:rFonts w:ascii="宋体" w:hAnsi="宋体" w:eastAsia="宋体"/>
                <w:sz w:val="16"/>
              </w:rPr>
              <w:t>奇台县人民法院</w:t>
            </w:r>
          </w:p>
        </w:tc>
      </w:tr>
      <w:tr w14:paraId="2F3AE2ED">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E1C46">
            <w:pPr>
              <w:jc w:val="center"/>
            </w:pPr>
            <w:r>
              <w:rPr>
                <w:rFonts w:ascii="宋体" w:hAnsi="宋体" w:eastAsia="宋体"/>
                <w:sz w:val="16"/>
              </w:rPr>
              <w:t>项目资金（万元）</w:t>
            </w:r>
          </w:p>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288EEC">
            <w:pPr>
              <w:jc w:val="center"/>
            </w:pPr>
          </w:p>
        </w:tc>
        <w:tc>
          <w:tcPr>
            <w:tcW w:w="122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E8569">
            <w:pPr>
              <w:jc w:val="center"/>
            </w:pPr>
            <w:r>
              <w:rPr>
                <w:rFonts w:ascii="宋体" w:hAnsi="宋体" w:eastAsia="宋体"/>
                <w:sz w:val="16"/>
              </w:rPr>
              <w:t>年初预算数</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F8B94">
            <w:pPr>
              <w:jc w:val="center"/>
            </w:pPr>
            <w:r>
              <w:rPr>
                <w:rFonts w:ascii="宋体" w:hAnsi="宋体" w:eastAsia="宋体"/>
                <w:sz w:val="16"/>
              </w:rPr>
              <w:t>全年预算数</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6C61E">
            <w:pPr>
              <w:jc w:val="center"/>
            </w:pPr>
            <w:r>
              <w:rPr>
                <w:rFonts w:ascii="宋体" w:hAnsi="宋体" w:eastAsia="宋体"/>
                <w:sz w:val="16"/>
              </w:rPr>
              <w:t>全年执行数</w:t>
            </w:r>
          </w:p>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EE2F12">
            <w:pPr>
              <w:jc w:val="center"/>
            </w:pPr>
            <w:r>
              <w:rPr>
                <w:rFonts w:ascii="宋体" w:hAnsi="宋体" w:eastAsia="宋体"/>
                <w:sz w:val="16"/>
              </w:rPr>
              <w:t>分值</w:t>
            </w:r>
          </w:p>
        </w:tc>
        <w:tc>
          <w:tcPr>
            <w:tcW w:w="121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AB48D7">
            <w:pPr>
              <w:jc w:val="center"/>
            </w:pPr>
            <w:r>
              <w:rPr>
                <w:rFonts w:ascii="宋体" w:hAnsi="宋体" w:eastAsia="宋体"/>
                <w:sz w:val="16"/>
              </w:rPr>
              <w:t>执行率</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78514E87">
            <w:pPr>
              <w:jc w:val="center"/>
            </w:pPr>
            <w:r>
              <w:rPr>
                <w:rFonts w:ascii="宋体" w:hAnsi="宋体" w:eastAsia="宋体"/>
                <w:sz w:val="16"/>
              </w:rPr>
              <w:t>得分</w:t>
            </w:r>
          </w:p>
        </w:tc>
      </w:tr>
      <w:tr w14:paraId="7765EF87">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4AD237E1"/>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2C02D">
            <w:pPr>
              <w:jc w:val="center"/>
            </w:pPr>
            <w:r>
              <w:rPr>
                <w:rFonts w:ascii="宋体" w:hAnsi="宋体" w:eastAsia="宋体"/>
                <w:sz w:val="16"/>
              </w:rPr>
              <w:t>年度资金总额</w:t>
            </w:r>
          </w:p>
        </w:tc>
        <w:tc>
          <w:tcPr>
            <w:tcW w:w="122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6EBA8D">
            <w:pPr>
              <w:jc w:val="center"/>
            </w:pPr>
            <w:r>
              <w:rPr>
                <w:rFonts w:ascii="宋体" w:hAnsi="宋体" w:eastAsia="宋体"/>
                <w:sz w:val="16"/>
              </w:rPr>
              <w:t>36.28</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4B1E8">
            <w:pPr>
              <w:jc w:val="center"/>
            </w:pPr>
            <w:r>
              <w:rPr>
                <w:rFonts w:ascii="宋体" w:hAnsi="宋体" w:eastAsia="宋体"/>
                <w:sz w:val="16"/>
              </w:rPr>
              <w:t>36.78</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38A669">
            <w:pPr>
              <w:jc w:val="center"/>
            </w:pPr>
            <w:r>
              <w:rPr>
                <w:rFonts w:ascii="宋体" w:hAnsi="宋体" w:eastAsia="宋体"/>
                <w:sz w:val="16"/>
              </w:rPr>
              <w:t>36.78</w:t>
            </w:r>
          </w:p>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329AF8">
            <w:pPr>
              <w:jc w:val="center"/>
            </w:pPr>
            <w:r>
              <w:rPr>
                <w:rFonts w:ascii="宋体" w:hAnsi="宋体" w:eastAsia="宋体"/>
                <w:sz w:val="16"/>
              </w:rPr>
              <w:t>10</w:t>
            </w:r>
          </w:p>
        </w:tc>
        <w:tc>
          <w:tcPr>
            <w:tcW w:w="121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7494FD">
            <w:pPr>
              <w:jc w:val="center"/>
            </w:pPr>
            <w:r>
              <w:rPr>
                <w:rFonts w:ascii="宋体" w:hAnsi="宋体" w:eastAsia="宋体"/>
                <w:sz w:val="16"/>
              </w:rPr>
              <w:t>100.00%</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124D7028">
            <w:pPr>
              <w:jc w:val="center"/>
            </w:pPr>
            <w:r>
              <w:rPr>
                <w:rFonts w:ascii="宋体" w:hAnsi="宋体" w:eastAsia="宋体"/>
                <w:sz w:val="16"/>
              </w:rPr>
              <w:t>10.00</w:t>
            </w:r>
          </w:p>
        </w:tc>
      </w:tr>
      <w:tr w14:paraId="1E2103C1">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392B67C2"/>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EA151">
            <w:pPr>
              <w:jc w:val="center"/>
            </w:pPr>
            <w:r>
              <w:rPr>
                <w:rFonts w:ascii="宋体" w:hAnsi="宋体" w:eastAsia="宋体"/>
                <w:sz w:val="16"/>
              </w:rPr>
              <w:t>其中：当年财政拨款</w:t>
            </w:r>
          </w:p>
        </w:tc>
        <w:tc>
          <w:tcPr>
            <w:tcW w:w="122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27BC1">
            <w:pPr>
              <w:jc w:val="center"/>
            </w:pPr>
            <w:r>
              <w:rPr>
                <w:rFonts w:ascii="宋体" w:hAnsi="宋体" w:eastAsia="宋体"/>
                <w:sz w:val="16"/>
              </w:rPr>
              <w:t>0.00</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10171A">
            <w:pPr>
              <w:jc w:val="center"/>
            </w:pPr>
            <w:r>
              <w:rPr>
                <w:rFonts w:ascii="宋体" w:hAnsi="宋体" w:eastAsia="宋体"/>
                <w:sz w:val="16"/>
              </w:rPr>
              <w:t>0.00</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34FFA">
            <w:pPr>
              <w:jc w:val="center"/>
            </w:pPr>
            <w:r>
              <w:rPr>
                <w:rFonts w:ascii="宋体" w:hAnsi="宋体" w:eastAsia="宋体"/>
                <w:sz w:val="16"/>
              </w:rPr>
              <w:t>0.00</w:t>
            </w:r>
          </w:p>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5D9A49">
            <w:pPr>
              <w:jc w:val="center"/>
            </w:pPr>
            <w:r>
              <w:rPr>
                <w:rFonts w:ascii="宋体" w:hAnsi="宋体" w:eastAsia="宋体"/>
                <w:sz w:val="16"/>
              </w:rPr>
              <w:t>—</w:t>
            </w:r>
          </w:p>
        </w:tc>
        <w:tc>
          <w:tcPr>
            <w:tcW w:w="121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B2345">
            <w:pPr>
              <w:jc w:val="center"/>
            </w:pPr>
            <w:r>
              <w:rPr>
                <w:rFonts w:ascii="宋体" w:hAnsi="宋体" w:eastAsia="宋体"/>
                <w:sz w:val="16"/>
              </w:rPr>
              <w:t>—</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349CC296">
            <w:pPr>
              <w:jc w:val="center"/>
            </w:pPr>
            <w:r>
              <w:rPr>
                <w:rFonts w:ascii="宋体" w:hAnsi="宋体" w:eastAsia="宋体"/>
                <w:sz w:val="16"/>
              </w:rPr>
              <w:t>—</w:t>
            </w:r>
          </w:p>
        </w:tc>
      </w:tr>
      <w:tr w14:paraId="01917B66">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50A06304"/>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951531">
            <w:pPr>
              <w:jc w:val="center"/>
            </w:pPr>
            <w:r>
              <w:rPr>
                <w:rFonts w:ascii="宋体" w:hAnsi="宋体" w:eastAsia="宋体"/>
                <w:sz w:val="16"/>
              </w:rPr>
              <w:t xml:space="preserve">  其他资金</w:t>
            </w:r>
          </w:p>
        </w:tc>
        <w:tc>
          <w:tcPr>
            <w:tcW w:w="122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362060">
            <w:pPr>
              <w:jc w:val="center"/>
            </w:pPr>
            <w:r>
              <w:rPr>
                <w:rFonts w:ascii="宋体" w:hAnsi="宋体" w:eastAsia="宋体"/>
                <w:sz w:val="16"/>
              </w:rPr>
              <w:t>36.28</w:t>
            </w:r>
          </w:p>
        </w:tc>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FC8CA7">
            <w:pPr>
              <w:jc w:val="center"/>
            </w:pPr>
            <w:r>
              <w:rPr>
                <w:rFonts w:ascii="宋体" w:hAnsi="宋体" w:eastAsia="宋体"/>
                <w:sz w:val="16"/>
              </w:rPr>
              <w:t>36.78</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6FE6DD">
            <w:pPr>
              <w:jc w:val="center"/>
            </w:pPr>
            <w:r>
              <w:rPr>
                <w:rFonts w:ascii="宋体" w:hAnsi="宋体" w:eastAsia="宋体"/>
                <w:sz w:val="16"/>
              </w:rPr>
              <w:t>36.78</w:t>
            </w:r>
          </w:p>
        </w:tc>
        <w:tc>
          <w:tcPr>
            <w:tcW w:w="121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0E4AE">
            <w:pPr>
              <w:jc w:val="center"/>
            </w:pPr>
            <w:r>
              <w:rPr>
                <w:rFonts w:ascii="宋体" w:hAnsi="宋体" w:eastAsia="宋体"/>
                <w:sz w:val="16"/>
              </w:rPr>
              <w:t>—</w:t>
            </w:r>
          </w:p>
        </w:tc>
        <w:tc>
          <w:tcPr>
            <w:tcW w:w="121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FC5DF5">
            <w:pPr>
              <w:jc w:val="center"/>
            </w:pPr>
            <w:r>
              <w:rPr>
                <w:rFonts w:ascii="宋体" w:hAnsi="宋体" w:eastAsia="宋体"/>
                <w:sz w:val="16"/>
              </w:rPr>
              <w:t>—</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57BE3888">
            <w:pPr>
              <w:jc w:val="center"/>
            </w:pPr>
            <w:r>
              <w:rPr>
                <w:rFonts w:ascii="宋体" w:hAnsi="宋体" w:eastAsia="宋体"/>
                <w:sz w:val="16"/>
              </w:rPr>
              <w:t>—</w:t>
            </w:r>
          </w:p>
        </w:tc>
      </w:tr>
      <w:tr w14:paraId="6920A824">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1A2C95">
            <w:pPr>
              <w:jc w:val="center"/>
            </w:pPr>
            <w:r>
              <w:rPr>
                <w:rFonts w:ascii="宋体" w:hAnsi="宋体" w:eastAsia="宋体"/>
                <w:sz w:val="16"/>
              </w:rPr>
              <w:t>年度总体目标</w:t>
            </w:r>
          </w:p>
        </w:tc>
        <w:tc>
          <w:tcPr>
            <w:tcW w:w="468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658ADD">
            <w:pPr>
              <w:jc w:val="center"/>
            </w:pPr>
            <w:r>
              <w:rPr>
                <w:rFonts w:ascii="宋体" w:hAnsi="宋体" w:eastAsia="宋体"/>
                <w:sz w:val="16"/>
              </w:rPr>
              <w:t>预期目标</w:t>
            </w:r>
          </w:p>
        </w:tc>
        <w:tc>
          <w:tcPr>
            <w:tcW w:w="39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D96205">
            <w:pPr>
              <w:jc w:val="center"/>
            </w:pPr>
            <w:r>
              <w:rPr>
                <w:rFonts w:ascii="宋体" w:hAnsi="宋体" w:eastAsia="宋体"/>
                <w:sz w:val="16"/>
              </w:rPr>
              <w:t>实际完成情况</w:t>
            </w:r>
          </w:p>
        </w:tc>
      </w:tr>
      <w:tr w14:paraId="36963CA6">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3ABE76EF"/>
        </w:tc>
        <w:tc>
          <w:tcPr>
            <w:tcW w:w="468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78FF66">
            <w:pPr>
              <w:jc w:val="both"/>
            </w:pPr>
            <w:r>
              <w:rPr>
                <w:rFonts w:ascii="宋体" w:hAnsi="宋体" w:eastAsia="宋体"/>
                <w:sz w:val="16"/>
              </w:rPr>
              <w:t>为了加强法院文化建设，注重与思想政治工作相结合，注重与审判工作相结合，注重与队伍建设工作相结合，塑造人民法院形象，加强法院廉政文化</w:t>
            </w:r>
          </w:p>
        </w:tc>
        <w:tc>
          <w:tcPr>
            <w:tcW w:w="39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CC33D6">
            <w:pPr>
              <w:jc w:val="both"/>
            </w:pPr>
            <w:r>
              <w:rPr>
                <w:rFonts w:ascii="宋体" w:hAnsi="宋体" w:eastAsia="宋体"/>
                <w:sz w:val="16"/>
              </w:rPr>
              <w:t>截至2024年12月31日，本项目实际支付资金36.78万元，预算执行率100%。本项目资金主要用于支付维修费用5万元；打造文化阵地费用13.28万元；租赁房屋费用1万元；购置后勤设备费用5万元；办公经费12.5万元，保证了各项工作的顺利开展。</w:t>
            </w:r>
          </w:p>
        </w:tc>
      </w:tr>
      <w:tr w14:paraId="5B6534F1">
        <w:tblPrEx>
          <w:tblCellMar>
            <w:top w:w="0" w:type="dxa"/>
            <w:left w:w="108" w:type="dxa"/>
            <w:bottom w:w="0" w:type="dxa"/>
            <w:right w:w="108" w:type="dxa"/>
          </w:tblCellMar>
        </w:tblPrEx>
        <w:tc>
          <w:tcPr>
            <w:tcW w:w="621" w:type="dxa"/>
            <w:tcBorders>
              <w:top w:val="single" w:color="auto" w:sz="10" w:space="0"/>
              <w:left w:val="single" w:color="auto" w:sz="10" w:space="0"/>
              <w:bottom w:val="single" w:color="auto" w:sz="10" w:space="0"/>
              <w:right w:val="single" w:color="auto" w:sz="10" w:space="0"/>
              <w:insideV w:val="single" w:sz="10" w:space="0"/>
            </w:tcBorders>
          </w:tcPr>
          <w:p w14:paraId="5F72316F"/>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E1C5A9B">
            <w:pPr>
              <w:jc w:val="center"/>
            </w:pPr>
            <w:r>
              <w:rPr>
                <w:rFonts w:ascii="宋体" w:hAnsi="宋体" w:eastAsia="宋体"/>
                <w:sz w:val="16"/>
              </w:rPr>
              <w:t>一级指标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2D4D51C">
            <w:pPr>
              <w:jc w:val="center"/>
            </w:pPr>
            <w:r>
              <w:rPr>
                <w:rFonts w:ascii="宋体" w:hAnsi="宋体" w:eastAsia="宋体"/>
                <w:sz w:val="16"/>
              </w:rPr>
              <w:t>二级指标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1C44D405">
            <w:pPr>
              <w:jc w:val="center"/>
            </w:pPr>
            <w:r>
              <w:rPr>
                <w:rFonts w:ascii="宋体" w:hAnsi="宋体" w:eastAsia="宋体"/>
                <w:sz w:val="16"/>
              </w:rPr>
              <w:t>三级指标</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103EA323">
            <w:pPr>
              <w:jc w:val="center"/>
            </w:pPr>
            <w:r>
              <w:rPr>
                <w:rFonts w:ascii="宋体" w:hAnsi="宋体" w:eastAsia="宋体"/>
                <w:sz w:val="16"/>
              </w:rPr>
              <w:t>权重</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FB4A513">
            <w:pPr>
              <w:jc w:val="center"/>
            </w:pPr>
            <w:r>
              <w:rPr>
                <w:rFonts w:ascii="宋体" w:hAnsi="宋体" w:eastAsia="宋体"/>
                <w:sz w:val="16"/>
              </w:rPr>
              <w:t>目标值</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9376B9C">
            <w:pPr>
              <w:jc w:val="center"/>
            </w:pPr>
            <w:r>
              <w:rPr>
                <w:rFonts w:ascii="宋体" w:hAnsi="宋体" w:eastAsia="宋体"/>
                <w:sz w:val="16"/>
              </w:rPr>
              <w:t>业绩值</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4B7E128">
            <w:pPr>
              <w:jc w:val="center"/>
            </w:pPr>
            <w:r>
              <w:rPr>
                <w:rFonts w:ascii="宋体" w:hAnsi="宋体" w:eastAsia="宋体"/>
                <w:sz w:val="16"/>
              </w:rPr>
              <w:t>完成率</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CACEA39">
            <w:pPr>
              <w:jc w:val="center"/>
            </w:pPr>
            <w:r>
              <w:rPr>
                <w:rFonts w:ascii="宋体" w:hAnsi="宋体" w:eastAsia="宋体"/>
                <w:sz w:val="16"/>
              </w:rPr>
              <w:t>指标得分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155CDC2">
            <w:pPr>
              <w:jc w:val="center"/>
            </w:pPr>
            <w:r>
              <w:rPr>
                <w:rFonts w:ascii="宋体" w:hAnsi="宋体" w:eastAsia="宋体"/>
                <w:sz w:val="16"/>
              </w:rPr>
              <w:t>指标值设定依据</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0BC6100">
            <w:pPr>
              <w:jc w:val="center"/>
            </w:pPr>
            <w:r>
              <w:rPr>
                <w:rFonts w:ascii="宋体" w:hAnsi="宋体" w:eastAsia="宋体"/>
                <w:sz w:val="16"/>
              </w:rPr>
              <w:t>上年完成情况</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73FF26E7">
            <w:pPr>
              <w:jc w:val="center"/>
            </w:pPr>
            <w:r>
              <w:rPr>
                <w:rFonts w:ascii="宋体" w:hAnsi="宋体" w:eastAsia="宋体"/>
                <w:sz w:val="16"/>
              </w:rPr>
              <w:t>赋分规则</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1E0200CA">
            <w:pPr>
              <w:jc w:val="center"/>
            </w:pPr>
            <w:r>
              <w:rPr>
                <w:rFonts w:ascii="宋体" w:hAnsi="宋体" w:eastAsia="宋体"/>
                <w:sz w:val="16"/>
              </w:rPr>
              <w:t>佐证资料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724DD705">
            <w:pPr>
              <w:jc w:val="center"/>
            </w:pPr>
            <w:r>
              <w:rPr>
                <w:rFonts w:ascii="宋体" w:hAnsi="宋体" w:eastAsia="宋体"/>
                <w:sz w:val="16"/>
              </w:rPr>
              <w:t>偏差原因分析及改进措施</w:t>
            </w:r>
          </w:p>
        </w:tc>
      </w:tr>
      <w:tr w14:paraId="230D5746">
        <w:tblPrEx>
          <w:tblCellMar>
            <w:top w:w="0" w:type="dxa"/>
            <w:left w:w="108" w:type="dxa"/>
            <w:bottom w:w="0" w:type="dxa"/>
            <w:right w:w="108" w:type="dxa"/>
          </w:tblCellMar>
        </w:tblPrEx>
        <w:tc>
          <w:tcPr>
            <w:tcW w:w="62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B8C4B">
            <w:pPr>
              <w:jc w:val="center"/>
            </w:pPr>
            <w:r>
              <w:rPr>
                <w:rFonts w:ascii="宋体" w:hAnsi="宋体" w:eastAsia="宋体"/>
                <w:sz w:val="16"/>
              </w:rPr>
              <w:t>年度绩效指标完成情况</w:t>
            </w:r>
          </w:p>
        </w:tc>
        <w:tc>
          <w:tcPr>
            <w:tcW w:w="6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11C7B">
            <w:pPr>
              <w:jc w:val="center"/>
            </w:pPr>
            <w:r>
              <w:rPr>
                <w:rFonts w:ascii="宋体" w:hAnsi="宋体" w:eastAsia="宋体"/>
                <w:sz w:val="16"/>
              </w:rPr>
              <w:t>产出指标</w:t>
            </w:r>
          </w:p>
        </w:tc>
        <w:tc>
          <w:tcPr>
            <w:tcW w:w="6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C7C68D">
            <w:pPr>
              <w:jc w:val="center"/>
            </w:pPr>
            <w:r>
              <w:rPr>
                <w:rFonts w:ascii="宋体" w:hAnsi="宋体" w:eastAsia="宋体"/>
                <w:sz w:val="16"/>
              </w:rPr>
              <w:t>数量指标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D8E00D9">
            <w:pPr>
              <w:jc w:val="center"/>
            </w:pPr>
            <w:r>
              <w:rPr>
                <w:rFonts w:ascii="宋体" w:hAnsi="宋体" w:eastAsia="宋体"/>
                <w:sz w:val="16"/>
              </w:rPr>
              <w:t>打造文化阵地</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69D42D9B">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B161CBC">
            <w:pPr>
              <w:jc w:val="center"/>
            </w:pPr>
            <w:r>
              <w:rPr>
                <w:rFonts w:ascii="宋体" w:hAnsi="宋体" w:eastAsia="宋体"/>
                <w:sz w:val="16"/>
              </w:rPr>
              <w:t>&gt;=1处</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B608D2E">
            <w:pPr>
              <w:jc w:val="center"/>
            </w:pPr>
            <w:r>
              <w:rPr>
                <w:rFonts w:ascii="宋体" w:hAnsi="宋体" w:eastAsia="宋体"/>
                <w:sz w:val="16"/>
              </w:rPr>
              <w:t>=1处</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C48EE31">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66005551">
            <w:pPr>
              <w:jc w:val="center"/>
            </w:pPr>
            <w:r>
              <w:rPr>
                <w:rFonts w:ascii="宋体" w:hAnsi="宋体" w:eastAsia="宋体"/>
                <w:sz w:val="16"/>
              </w:rPr>
              <w:t>8</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2C8F98F">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48C16A4">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3EC3EAB5">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29482FD">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5F041EB5">
            <w:pPr>
              <w:jc w:val="center"/>
            </w:pPr>
          </w:p>
        </w:tc>
      </w:tr>
      <w:tr w14:paraId="6AAC99FC">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26931225"/>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F924A8D"/>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D9A91BD"/>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31BEDDB">
            <w:pPr>
              <w:jc w:val="center"/>
            </w:pPr>
            <w:r>
              <w:rPr>
                <w:rFonts w:ascii="宋体" w:hAnsi="宋体" w:eastAsia="宋体"/>
                <w:sz w:val="16"/>
              </w:rPr>
              <w:t>租赁援疆干部房屋</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22D74690">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1B05C12">
            <w:pPr>
              <w:jc w:val="center"/>
            </w:pPr>
            <w:r>
              <w:rPr>
                <w:rFonts w:ascii="宋体" w:hAnsi="宋体" w:eastAsia="宋体"/>
                <w:sz w:val="16"/>
              </w:rPr>
              <w:t>=1套</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769755A">
            <w:pPr>
              <w:jc w:val="center"/>
            </w:pPr>
            <w:r>
              <w:rPr>
                <w:rFonts w:ascii="宋体" w:hAnsi="宋体" w:eastAsia="宋体"/>
                <w:sz w:val="16"/>
              </w:rPr>
              <w:t>=1套</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0BF9CBC">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8B99EA7">
            <w:pPr>
              <w:jc w:val="center"/>
            </w:pPr>
            <w:r>
              <w:rPr>
                <w:rFonts w:ascii="宋体" w:hAnsi="宋体" w:eastAsia="宋体"/>
                <w:sz w:val="16"/>
              </w:rPr>
              <w:t>8</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B9A1617">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60DF844">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1936E5D4">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6C1182C">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5F5326AE">
            <w:pPr>
              <w:jc w:val="center"/>
            </w:pPr>
          </w:p>
        </w:tc>
      </w:tr>
      <w:tr w14:paraId="49B5AED0">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7ACFB895"/>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350FE39"/>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45DD422C"/>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AC4D466">
            <w:pPr>
              <w:jc w:val="center"/>
            </w:pPr>
            <w:r>
              <w:rPr>
                <w:rFonts w:ascii="宋体" w:hAnsi="宋体" w:eastAsia="宋体"/>
                <w:sz w:val="16"/>
              </w:rPr>
              <w:t>零星维修数量</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65291059">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A8C6499">
            <w:pPr>
              <w:jc w:val="center"/>
            </w:pPr>
            <w:r>
              <w:rPr>
                <w:rFonts w:ascii="宋体" w:hAnsi="宋体" w:eastAsia="宋体"/>
                <w:sz w:val="16"/>
              </w:rPr>
              <w:t>&gt;=3个</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C814EB6">
            <w:pPr>
              <w:jc w:val="center"/>
            </w:pPr>
            <w:r>
              <w:rPr>
                <w:rFonts w:ascii="宋体" w:hAnsi="宋体" w:eastAsia="宋体"/>
                <w:sz w:val="16"/>
              </w:rPr>
              <w:t>=3个</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68AE034">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217D06D7">
            <w:pPr>
              <w:jc w:val="center"/>
            </w:pPr>
            <w:r>
              <w:rPr>
                <w:rFonts w:ascii="宋体" w:hAnsi="宋体" w:eastAsia="宋体"/>
                <w:sz w:val="16"/>
              </w:rPr>
              <w:t>8</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52B0ED8">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AC9FF49">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7C63C201">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FDC362A">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3B355C26">
            <w:pPr>
              <w:jc w:val="center"/>
            </w:pPr>
          </w:p>
        </w:tc>
      </w:tr>
      <w:tr w14:paraId="4A4E437B">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31E17782"/>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2FC4814B"/>
        </w:tc>
        <w:tc>
          <w:tcPr>
            <w:tcW w:w="6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335EE9">
            <w:pPr>
              <w:jc w:val="center"/>
            </w:pPr>
            <w:r>
              <w:rPr>
                <w:rFonts w:ascii="宋体" w:hAnsi="宋体" w:eastAsia="宋体"/>
                <w:sz w:val="16"/>
              </w:rPr>
              <w:t>质量指标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FCD37E9">
            <w:pPr>
              <w:jc w:val="center"/>
            </w:pPr>
            <w:r>
              <w:rPr>
                <w:rFonts w:ascii="宋体" w:hAnsi="宋体" w:eastAsia="宋体"/>
                <w:sz w:val="16"/>
              </w:rPr>
              <w:t>政府采购率</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72BD4F7C">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841077D">
            <w:pPr>
              <w:jc w:val="center"/>
            </w:pPr>
            <w:r>
              <w:rPr>
                <w:rFonts w:ascii="宋体" w:hAnsi="宋体" w:eastAsia="宋体"/>
                <w:sz w:val="16"/>
              </w:rPr>
              <w:t>&gt;90%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CA4DAF8">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4B1B6BD">
            <w:pPr>
              <w:jc w:val="center"/>
            </w:pPr>
            <w:r>
              <w:rPr>
                <w:rFonts w:ascii="宋体" w:hAnsi="宋体" w:eastAsia="宋体"/>
                <w:sz w:val="16"/>
              </w:rPr>
              <w:t>111.11%</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749B7B41">
            <w:pPr>
              <w:jc w:val="center"/>
            </w:pPr>
            <w:r>
              <w:rPr>
                <w:rFonts w:ascii="宋体" w:hAnsi="宋体" w:eastAsia="宋体"/>
                <w:sz w:val="16"/>
              </w:rPr>
              <w:t>7.11</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A2F7F9E">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082BC911">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6B1E8271">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76FB4A7">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18DA942E">
            <w:pPr>
              <w:jc w:val="center"/>
            </w:pPr>
            <w:r>
              <w:rPr>
                <w:rFonts w:ascii="宋体" w:hAnsi="宋体" w:eastAsia="宋体"/>
                <w:sz w:val="16"/>
              </w:rPr>
              <w:t>项目均已通过政府采购，且采购率为100%，预期指标设置偏差</w:t>
            </w:r>
          </w:p>
        </w:tc>
      </w:tr>
      <w:tr w14:paraId="33DC8857">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5800DACC"/>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5FE025CC"/>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5859BA97"/>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6CCDC28">
            <w:pPr>
              <w:jc w:val="center"/>
            </w:pPr>
            <w:r>
              <w:rPr>
                <w:rFonts w:ascii="宋体" w:hAnsi="宋体" w:eastAsia="宋体"/>
                <w:sz w:val="16"/>
              </w:rPr>
              <w:t>验收合格率</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0A7F14F2">
            <w:pPr>
              <w:jc w:val="center"/>
            </w:pPr>
            <w:r>
              <w:rPr>
                <w:rFonts w:ascii="宋体" w:hAnsi="宋体" w:eastAsia="宋体"/>
                <w:sz w:val="16"/>
              </w:rPr>
              <w:t>8</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E2B7907">
            <w:pPr>
              <w:jc w:val="center"/>
            </w:pPr>
            <w:r>
              <w:rPr>
                <w:rFonts w:ascii="宋体" w:hAnsi="宋体" w:eastAsia="宋体"/>
                <w:sz w:val="16"/>
              </w:rPr>
              <w:t>&gt;90%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80372D1">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B7E0D18">
            <w:pPr>
              <w:jc w:val="center"/>
            </w:pPr>
            <w:r>
              <w:rPr>
                <w:rFonts w:ascii="宋体" w:hAnsi="宋体" w:eastAsia="宋体"/>
                <w:sz w:val="16"/>
              </w:rPr>
              <w:t>111.11%</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106EE38E">
            <w:pPr>
              <w:jc w:val="center"/>
            </w:pPr>
            <w:r>
              <w:rPr>
                <w:rFonts w:ascii="宋体" w:hAnsi="宋体" w:eastAsia="宋体"/>
                <w:sz w:val="16"/>
              </w:rPr>
              <w:t>7.11</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FEF6A40">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43A2030">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6540E2A3">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84E5D51">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1D52158B">
            <w:pPr>
              <w:jc w:val="center"/>
            </w:pPr>
            <w:r>
              <w:rPr>
                <w:rFonts w:ascii="宋体" w:hAnsi="宋体" w:eastAsia="宋体"/>
                <w:sz w:val="16"/>
              </w:rPr>
              <w:t>项目均已验收合格，且合格率为100%，预期指标设置偏差</w:t>
            </w:r>
          </w:p>
        </w:tc>
      </w:tr>
      <w:tr w14:paraId="088155FE">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09972DBC"/>
        </w:tc>
        <w:tc>
          <w:tcPr>
            <w:tcW w:w="6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EDB1BA">
            <w:pPr>
              <w:jc w:val="center"/>
            </w:pPr>
            <w:r>
              <w:rPr>
                <w:rFonts w:ascii="宋体" w:hAnsi="宋体" w:eastAsia="宋体"/>
                <w:sz w:val="16"/>
              </w:rPr>
              <w:t>成本指标</w:t>
            </w:r>
          </w:p>
        </w:tc>
        <w:tc>
          <w:tcPr>
            <w:tcW w:w="6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508641">
            <w:pPr>
              <w:jc w:val="center"/>
            </w:pPr>
            <w:r>
              <w:rPr>
                <w:rFonts w:ascii="宋体" w:hAnsi="宋体" w:eastAsia="宋体"/>
                <w:sz w:val="16"/>
              </w:rPr>
              <w:t>经济成本指标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68EF70D">
            <w:pPr>
              <w:jc w:val="center"/>
            </w:pPr>
            <w:r>
              <w:rPr>
                <w:rFonts w:ascii="宋体" w:hAnsi="宋体" w:eastAsia="宋体"/>
                <w:sz w:val="16"/>
              </w:rPr>
              <w:t>维修成本</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32440BA5">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F978106">
            <w:pPr>
              <w:jc w:val="center"/>
            </w:pPr>
            <w:r>
              <w:rPr>
                <w:rFonts w:ascii="宋体" w:hAnsi="宋体" w:eastAsia="宋体"/>
                <w:sz w:val="16"/>
              </w:rPr>
              <w:t>&lt;=5万元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5E93C6C">
            <w:pPr>
              <w:jc w:val="center"/>
            </w:pPr>
            <w:r>
              <w:rPr>
                <w:rFonts w:ascii="宋体" w:hAnsi="宋体" w:eastAsia="宋体"/>
                <w:sz w:val="16"/>
              </w:rPr>
              <w:t>=5万元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CDEBBF6">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441E8F5">
            <w:pPr>
              <w:jc w:val="center"/>
            </w:pPr>
            <w:r>
              <w:rPr>
                <w:rFonts w:ascii="宋体" w:hAnsi="宋体" w:eastAsia="宋体"/>
                <w:sz w:val="16"/>
              </w:rPr>
              <w:t>4</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496D4F7">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63CBD67">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41F5FFB0">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DD6D8FF">
            <w:pPr>
              <w:jc w:val="center"/>
            </w:pPr>
            <w:r>
              <w:rPr>
                <w:rFonts w:ascii="宋体" w:hAnsi="宋体" w:eastAsia="宋体"/>
                <w:sz w:val="16"/>
              </w:rPr>
              <w:t>原始凭证</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036E1203">
            <w:pPr>
              <w:jc w:val="center"/>
            </w:pPr>
          </w:p>
        </w:tc>
      </w:tr>
      <w:tr w14:paraId="1CF2A224">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5E63217A"/>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BF49675"/>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02B28943"/>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0AA4256">
            <w:pPr>
              <w:jc w:val="center"/>
            </w:pPr>
            <w:r>
              <w:rPr>
                <w:rFonts w:ascii="宋体" w:hAnsi="宋体" w:eastAsia="宋体"/>
                <w:sz w:val="16"/>
              </w:rPr>
              <w:t>租赁房屋成本</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28C43D69">
            <w:pPr>
              <w:jc w:val="center"/>
            </w:pPr>
            <w:r>
              <w:rPr>
                <w:rFonts w:ascii="宋体" w:hAnsi="宋体" w:eastAsia="宋体"/>
                <w:sz w:val="16"/>
              </w:rPr>
              <w:t>1</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8C3672E">
            <w:pPr>
              <w:jc w:val="center"/>
            </w:pPr>
            <w:r>
              <w:rPr>
                <w:rFonts w:ascii="宋体" w:hAnsi="宋体" w:eastAsia="宋体"/>
                <w:sz w:val="16"/>
              </w:rPr>
              <w:t>&lt;=1万元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5F54E64">
            <w:pPr>
              <w:jc w:val="center"/>
            </w:pPr>
            <w:r>
              <w:rPr>
                <w:rFonts w:ascii="宋体" w:hAnsi="宋体" w:eastAsia="宋体"/>
                <w:sz w:val="16"/>
              </w:rPr>
              <w:t>=1万元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1A9BE8D6">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5E046DC">
            <w:pPr>
              <w:jc w:val="center"/>
            </w:pPr>
            <w:r>
              <w:rPr>
                <w:rFonts w:ascii="宋体" w:hAnsi="宋体" w:eastAsia="宋体"/>
                <w:sz w:val="16"/>
              </w:rPr>
              <w:t>1</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12EF237F">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0CA77975">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0F088D9F">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3079550">
            <w:pPr>
              <w:jc w:val="center"/>
            </w:pPr>
            <w:r>
              <w:rPr>
                <w:rFonts w:ascii="宋体" w:hAnsi="宋体" w:eastAsia="宋体"/>
                <w:sz w:val="16"/>
              </w:rPr>
              <w:t>原始凭证</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7E66D0DA">
            <w:pPr>
              <w:jc w:val="center"/>
            </w:pPr>
          </w:p>
        </w:tc>
      </w:tr>
      <w:tr w14:paraId="791B0365">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7FC59D0A"/>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D47CFA6"/>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204CB21A"/>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A055D51">
            <w:pPr>
              <w:jc w:val="center"/>
            </w:pPr>
            <w:r>
              <w:rPr>
                <w:rFonts w:ascii="宋体" w:hAnsi="宋体" w:eastAsia="宋体"/>
                <w:sz w:val="16"/>
              </w:rPr>
              <w:t>打造文化阵地成本</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08E01406">
            <w:pPr>
              <w:jc w:val="center"/>
            </w:pPr>
            <w:r>
              <w:rPr>
                <w:rFonts w:ascii="宋体" w:hAnsi="宋体" w:eastAsia="宋体"/>
                <w:sz w:val="16"/>
              </w:rPr>
              <w:t>6</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3960850">
            <w:pPr>
              <w:jc w:val="center"/>
            </w:pPr>
            <w:r>
              <w:rPr>
                <w:rFonts w:ascii="宋体" w:hAnsi="宋体" w:eastAsia="宋体"/>
                <w:sz w:val="16"/>
              </w:rPr>
              <w:t>&lt;=13.28万元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1FFC438">
            <w:pPr>
              <w:jc w:val="center"/>
            </w:pPr>
            <w:r>
              <w:rPr>
                <w:rFonts w:ascii="宋体" w:hAnsi="宋体" w:eastAsia="宋体"/>
                <w:sz w:val="16"/>
              </w:rPr>
              <w:t>=13.28万元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AB551D8">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E6E089C">
            <w:pPr>
              <w:jc w:val="center"/>
            </w:pPr>
            <w:r>
              <w:rPr>
                <w:rFonts w:ascii="宋体" w:hAnsi="宋体" w:eastAsia="宋体"/>
                <w:sz w:val="16"/>
              </w:rPr>
              <w:t>6</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EC5FB15">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8058834">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1490F03B">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E1C0DB8">
            <w:pPr>
              <w:jc w:val="center"/>
            </w:pPr>
            <w:r>
              <w:rPr>
                <w:rFonts w:ascii="宋体" w:hAnsi="宋体" w:eastAsia="宋体"/>
                <w:sz w:val="16"/>
              </w:rPr>
              <w:t>原始凭证</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4AF4B3DD">
            <w:pPr>
              <w:jc w:val="center"/>
            </w:pPr>
          </w:p>
        </w:tc>
      </w:tr>
      <w:tr w14:paraId="219630B9">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55ADC5F6"/>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71455D65"/>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6DF1571F"/>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50E68815">
            <w:pPr>
              <w:jc w:val="center"/>
            </w:pPr>
            <w:r>
              <w:rPr>
                <w:rFonts w:ascii="宋体" w:hAnsi="宋体" w:eastAsia="宋体"/>
                <w:sz w:val="16"/>
              </w:rPr>
              <w:t>购置后勤设备成本</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5D50ACD9">
            <w:pPr>
              <w:jc w:val="center"/>
            </w:pPr>
            <w:r>
              <w:rPr>
                <w:rFonts w:ascii="宋体" w:hAnsi="宋体" w:eastAsia="宋体"/>
                <w:sz w:val="16"/>
              </w:rPr>
              <w:t>4</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9CE08EC">
            <w:pPr>
              <w:jc w:val="center"/>
            </w:pPr>
            <w:r>
              <w:rPr>
                <w:rFonts w:ascii="宋体" w:hAnsi="宋体" w:eastAsia="宋体"/>
                <w:sz w:val="16"/>
              </w:rPr>
              <w:t>&lt;=5万元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182F8E1">
            <w:pPr>
              <w:jc w:val="center"/>
            </w:pPr>
            <w:r>
              <w:rPr>
                <w:rFonts w:ascii="宋体" w:hAnsi="宋体" w:eastAsia="宋体"/>
                <w:sz w:val="16"/>
              </w:rPr>
              <w:t>=5万元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E0B2472">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47134E2">
            <w:pPr>
              <w:jc w:val="center"/>
            </w:pPr>
            <w:r>
              <w:rPr>
                <w:rFonts w:ascii="宋体" w:hAnsi="宋体" w:eastAsia="宋体"/>
                <w:sz w:val="16"/>
              </w:rPr>
              <w:t>4</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B12B924">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6D9D84F">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23025A1A">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678AB291">
            <w:pPr>
              <w:jc w:val="center"/>
            </w:pPr>
            <w:r>
              <w:rPr>
                <w:rFonts w:ascii="宋体" w:hAnsi="宋体" w:eastAsia="宋体"/>
                <w:sz w:val="16"/>
              </w:rPr>
              <w:t>原始凭证</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649C115B">
            <w:pPr>
              <w:jc w:val="center"/>
            </w:pPr>
          </w:p>
        </w:tc>
      </w:tr>
      <w:tr w14:paraId="35F3BCF5">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73F21F6B"/>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16132ABC"/>
        </w:tc>
        <w:tc>
          <w:tcPr>
            <w:tcW w:w="607" w:type="dxa"/>
            <w:vMerge w:val="continue"/>
            <w:tcBorders>
              <w:top w:val="single" w:color="auto" w:sz="10" w:space="0"/>
              <w:left w:val="single" w:color="auto" w:sz="10" w:space="0"/>
              <w:bottom w:val="single" w:color="auto" w:sz="10" w:space="0"/>
              <w:right w:val="single" w:color="auto" w:sz="10" w:space="0"/>
              <w:insideV w:val="single" w:sz="10" w:space="0"/>
            </w:tcBorders>
          </w:tcPr>
          <w:p w14:paraId="511B705A"/>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02D7161B">
            <w:pPr>
              <w:jc w:val="center"/>
            </w:pPr>
            <w:r>
              <w:rPr>
                <w:rFonts w:ascii="宋体" w:hAnsi="宋体" w:eastAsia="宋体"/>
                <w:sz w:val="16"/>
              </w:rPr>
              <w:t>办公经费成本</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35194C6E">
            <w:pPr>
              <w:jc w:val="center"/>
            </w:pPr>
            <w:r>
              <w:rPr>
                <w:rFonts w:ascii="宋体" w:hAnsi="宋体" w:eastAsia="宋体"/>
                <w:sz w:val="16"/>
              </w:rPr>
              <w:t>5</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092BC21A">
            <w:pPr>
              <w:jc w:val="center"/>
            </w:pPr>
            <w:r>
              <w:rPr>
                <w:rFonts w:ascii="宋体" w:hAnsi="宋体" w:eastAsia="宋体"/>
                <w:sz w:val="16"/>
              </w:rPr>
              <w:t>&lt;=12.5万元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3183ACA">
            <w:pPr>
              <w:jc w:val="center"/>
            </w:pPr>
            <w:r>
              <w:rPr>
                <w:rFonts w:ascii="宋体" w:hAnsi="宋体" w:eastAsia="宋体"/>
                <w:sz w:val="16"/>
              </w:rPr>
              <w:t>=12.5万元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E4D5EAB">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667EAAB3">
            <w:pPr>
              <w:jc w:val="center"/>
            </w:pPr>
            <w:r>
              <w:rPr>
                <w:rFonts w:ascii="宋体" w:hAnsi="宋体" w:eastAsia="宋体"/>
                <w:sz w:val="16"/>
              </w:rPr>
              <w:t>5</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E8E849C">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51E73BE">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148B4846">
            <w:pPr>
              <w:jc w:val="center"/>
            </w:pPr>
            <w:r>
              <w:rPr>
                <w:rFonts w:ascii="宋体" w:hAnsi="宋体" w:eastAsia="宋体"/>
                <w:sz w:val="16"/>
              </w:rPr>
              <w:t>按照完成比例赋分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13252161">
            <w:pPr>
              <w:jc w:val="center"/>
            </w:pPr>
            <w:r>
              <w:rPr>
                <w:rFonts w:ascii="宋体" w:hAnsi="宋体" w:eastAsia="宋体"/>
                <w:sz w:val="16"/>
              </w:rPr>
              <w:t>原始凭证</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76860063">
            <w:pPr>
              <w:jc w:val="center"/>
            </w:pPr>
          </w:p>
        </w:tc>
      </w:tr>
      <w:tr w14:paraId="7483B9DC">
        <w:tblPrEx>
          <w:tblCellMar>
            <w:top w:w="0" w:type="dxa"/>
            <w:left w:w="108" w:type="dxa"/>
            <w:bottom w:w="0" w:type="dxa"/>
            <w:right w:w="108" w:type="dxa"/>
          </w:tblCellMar>
        </w:tblPrEx>
        <w:tc>
          <w:tcPr>
            <w:tcW w:w="621" w:type="dxa"/>
            <w:vMerge w:val="continue"/>
            <w:tcBorders>
              <w:top w:val="single" w:color="auto" w:sz="10" w:space="0"/>
              <w:left w:val="single" w:color="auto" w:sz="10" w:space="0"/>
              <w:bottom w:val="single" w:color="auto" w:sz="10" w:space="0"/>
              <w:right w:val="single" w:color="auto" w:sz="10" w:space="0"/>
              <w:insideV w:val="single" w:sz="10" w:space="0"/>
            </w:tcBorders>
          </w:tcPr>
          <w:p w14:paraId="15009136"/>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45EA2BBC">
            <w:pPr>
              <w:jc w:val="center"/>
            </w:pPr>
            <w:r>
              <w:rPr>
                <w:rFonts w:ascii="宋体" w:hAnsi="宋体" w:eastAsia="宋体"/>
                <w:sz w:val="16"/>
              </w:rPr>
              <w:t>效益指标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06415850">
            <w:pPr>
              <w:jc w:val="center"/>
            </w:pPr>
            <w:r>
              <w:rPr>
                <w:rFonts w:ascii="宋体" w:hAnsi="宋体" w:eastAsia="宋体"/>
                <w:sz w:val="16"/>
              </w:rPr>
              <w:t>社会效益指标</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35500D16">
            <w:pPr>
              <w:jc w:val="center"/>
            </w:pPr>
            <w:r>
              <w:rPr>
                <w:rFonts w:ascii="宋体" w:hAnsi="宋体" w:eastAsia="宋体"/>
                <w:sz w:val="16"/>
              </w:rPr>
              <w:t>保障各项工作正常开展</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37525730">
            <w:pPr>
              <w:jc w:val="center"/>
            </w:pPr>
            <w:r>
              <w:rPr>
                <w:rFonts w:ascii="宋体" w:hAnsi="宋体" w:eastAsia="宋体"/>
                <w:sz w:val="16"/>
              </w:rPr>
              <w:t>30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4A67476E">
            <w:pPr>
              <w:jc w:val="center"/>
            </w:pPr>
            <w:r>
              <w:rPr>
                <w:rFonts w:ascii="宋体" w:hAnsi="宋体" w:eastAsia="宋体"/>
                <w:sz w:val="16"/>
              </w:rPr>
              <w:t>正常运转</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5FEC541">
            <w:pPr>
              <w:jc w:val="center"/>
            </w:pPr>
            <w:r>
              <w:rPr>
                <w:rFonts w:ascii="宋体" w:hAnsi="宋体" w:eastAsia="宋体"/>
                <w:sz w:val="16"/>
              </w:rPr>
              <w:t>达到预期指标</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66F662DD">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EE72B35">
            <w:pPr>
              <w:jc w:val="center"/>
            </w:pPr>
            <w:r>
              <w:rPr>
                <w:rFonts w:ascii="宋体" w:hAnsi="宋体" w:eastAsia="宋体"/>
                <w:sz w:val="16"/>
              </w:rPr>
              <w:t>30</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76CDE7AB">
            <w:pPr>
              <w:jc w:val="center"/>
            </w:pPr>
            <w:r>
              <w:rPr>
                <w:rFonts w:ascii="宋体" w:hAnsi="宋体" w:eastAsia="宋体"/>
                <w:sz w:val="16"/>
              </w:rPr>
              <w:t>计划标准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1A5FBA0B">
            <w:pPr>
              <w:jc w:val="center"/>
            </w:pPr>
            <w:r>
              <w:rPr>
                <w:rFonts w:ascii="宋体" w:hAnsi="宋体" w:eastAsia="宋体"/>
                <w:sz w:val="16"/>
              </w:rPr>
              <w:t>-</w:t>
            </w:r>
          </w:p>
        </w:tc>
        <w:tc>
          <w:tcPr>
            <w:tcW w:w="608" w:type="dxa"/>
            <w:tcBorders>
              <w:top w:val="single" w:color="auto" w:sz="10" w:space="0"/>
              <w:left w:val="single" w:color="auto" w:sz="10" w:space="0"/>
              <w:bottom w:val="single" w:color="auto" w:sz="10" w:space="0"/>
              <w:right w:val="single" w:color="auto" w:sz="10" w:space="0"/>
              <w:insideV w:val="single" w:sz="10" w:space="0"/>
            </w:tcBorders>
            <w:vAlign w:val="center"/>
          </w:tcPr>
          <w:p w14:paraId="20FAD7A3">
            <w:pPr>
              <w:jc w:val="center"/>
            </w:pPr>
            <w:r>
              <w:rPr>
                <w:rFonts w:ascii="宋体" w:hAnsi="宋体" w:eastAsia="宋体"/>
                <w:sz w:val="16"/>
              </w:rPr>
              <w:t>按评判等级赋分</w:t>
            </w:r>
          </w:p>
        </w:tc>
        <w:tc>
          <w:tcPr>
            <w:tcW w:w="607" w:type="dxa"/>
            <w:tcBorders>
              <w:top w:val="single" w:color="auto" w:sz="10" w:space="0"/>
              <w:left w:val="single" w:color="auto" w:sz="10" w:space="0"/>
              <w:bottom w:val="single" w:color="auto" w:sz="10" w:space="0"/>
              <w:right w:val="single" w:color="auto" w:sz="10" w:space="0"/>
              <w:insideV w:val="single" w:sz="10" w:space="0"/>
            </w:tcBorders>
            <w:vAlign w:val="center"/>
          </w:tcPr>
          <w:p w14:paraId="207D9959">
            <w:pPr>
              <w:jc w:val="center"/>
            </w:pPr>
            <w:r>
              <w:rPr>
                <w:rFonts w:ascii="宋体" w:hAnsi="宋体" w:eastAsia="宋体"/>
                <w:sz w:val="16"/>
              </w:rPr>
              <w:t>工作资料</w:t>
            </w:r>
          </w:p>
        </w:tc>
        <w:tc>
          <w:tcPr>
            <w:tcW w:w="860" w:type="dxa"/>
            <w:tcBorders>
              <w:top w:val="single" w:color="auto" w:sz="10" w:space="0"/>
              <w:left w:val="single" w:color="auto" w:sz="10" w:space="0"/>
              <w:bottom w:val="single" w:color="auto" w:sz="10" w:space="0"/>
              <w:right w:val="single" w:color="auto" w:sz="10" w:space="0"/>
              <w:insideV w:val="single" w:sz="10" w:space="0"/>
            </w:tcBorders>
            <w:vAlign w:val="center"/>
          </w:tcPr>
          <w:p w14:paraId="47A0D39D">
            <w:pPr>
              <w:jc w:val="center"/>
            </w:pPr>
          </w:p>
        </w:tc>
      </w:tr>
      <w:tr w14:paraId="3E45AAB7">
        <w:tblPrEx>
          <w:tblCellMar>
            <w:top w:w="0" w:type="dxa"/>
            <w:left w:w="108" w:type="dxa"/>
            <w:bottom w:w="0" w:type="dxa"/>
            <w:right w:w="108" w:type="dxa"/>
          </w:tblCellMar>
        </w:tblPrEx>
        <w:tc>
          <w:tcPr>
            <w:tcW w:w="244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B00682">
            <w:pPr>
              <w:jc w:val="center"/>
            </w:pPr>
            <w:r>
              <w:rPr>
                <w:rFonts w:ascii="宋体" w:hAnsi="宋体" w:eastAsia="宋体"/>
                <w:sz w:val="16"/>
              </w:rPr>
              <w:t>总分</w:t>
            </w:r>
          </w:p>
        </w:tc>
        <w:tc>
          <w:tcPr>
            <w:tcW w:w="615" w:type="dxa"/>
            <w:tcBorders>
              <w:top w:val="single" w:color="auto" w:sz="10" w:space="0"/>
              <w:left w:val="single" w:color="auto" w:sz="10" w:space="0"/>
              <w:bottom w:val="single" w:color="auto" w:sz="10" w:space="0"/>
              <w:right w:val="single" w:color="auto" w:sz="10" w:space="0"/>
              <w:insideV w:val="single" w:sz="10" w:space="0"/>
            </w:tcBorders>
            <w:vAlign w:val="center"/>
          </w:tcPr>
          <w:p w14:paraId="206284EE">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tcPr>
          <w:p w14:paraId="58DF18A0"/>
        </w:tc>
        <w:tc>
          <w:tcPr>
            <w:tcW w:w="696" w:type="dxa"/>
            <w:tcBorders>
              <w:top w:val="single" w:color="auto" w:sz="10" w:space="0"/>
              <w:left w:val="single" w:color="auto" w:sz="10" w:space="0"/>
              <w:bottom w:val="single" w:color="auto" w:sz="10" w:space="0"/>
              <w:right w:val="single" w:color="auto" w:sz="10" w:space="0"/>
              <w:insideV w:val="single" w:sz="10" w:space="0"/>
            </w:tcBorders>
          </w:tcPr>
          <w:p w14:paraId="73C64E2C"/>
        </w:tc>
        <w:tc>
          <w:tcPr>
            <w:tcW w:w="776" w:type="dxa"/>
            <w:tcBorders>
              <w:top w:val="single" w:color="auto" w:sz="10" w:space="0"/>
              <w:left w:val="single" w:color="auto" w:sz="10" w:space="0"/>
              <w:bottom w:val="single" w:color="auto" w:sz="10" w:space="0"/>
              <w:right w:val="single" w:color="auto" w:sz="10" w:space="0"/>
              <w:insideV w:val="single" w:sz="10" w:space="0"/>
            </w:tcBorders>
          </w:tcPr>
          <w:p w14:paraId="716C5983"/>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4D71D5D">
            <w:pPr>
              <w:jc w:val="center"/>
            </w:pPr>
            <w:r>
              <w:rPr>
                <w:rFonts w:ascii="宋体" w:hAnsi="宋体" w:eastAsia="宋体"/>
                <w:sz w:val="16"/>
              </w:rPr>
              <w:t>98.22分</w:t>
            </w:r>
          </w:p>
        </w:tc>
        <w:tc>
          <w:tcPr>
            <w:tcW w:w="607" w:type="dxa"/>
            <w:tcBorders>
              <w:top w:val="single" w:color="auto" w:sz="10" w:space="0"/>
              <w:left w:val="single" w:color="auto" w:sz="10" w:space="0"/>
              <w:bottom w:val="single" w:color="auto" w:sz="10" w:space="0"/>
              <w:right w:val="single" w:color="auto" w:sz="10" w:space="0"/>
              <w:insideV w:val="single" w:sz="10" w:space="0"/>
            </w:tcBorders>
          </w:tcPr>
          <w:p w14:paraId="260319B6"/>
        </w:tc>
        <w:tc>
          <w:tcPr>
            <w:tcW w:w="607" w:type="dxa"/>
            <w:tcBorders>
              <w:top w:val="single" w:color="auto" w:sz="10" w:space="0"/>
              <w:left w:val="single" w:color="auto" w:sz="10" w:space="0"/>
              <w:bottom w:val="single" w:color="auto" w:sz="10" w:space="0"/>
              <w:right w:val="single" w:color="auto" w:sz="10" w:space="0"/>
              <w:insideV w:val="single" w:sz="10" w:space="0"/>
            </w:tcBorders>
          </w:tcPr>
          <w:p w14:paraId="5852E8E4"/>
        </w:tc>
        <w:tc>
          <w:tcPr>
            <w:tcW w:w="608" w:type="dxa"/>
            <w:tcBorders>
              <w:top w:val="single" w:color="auto" w:sz="10" w:space="0"/>
              <w:left w:val="single" w:color="auto" w:sz="10" w:space="0"/>
              <w:bottom w:val="single" w:color="auto" w:sz="10" w:space="0"/>
              <w:right w:val="single" w:color="auto" w:sz="10" w:space="0"/>
              <w:insideV w:val="single" w:sz="10" w:space="0"/>
            </w:tcBorders>
          </w:tcPr>
          <w:p w14:paraId="71F1BA0D"/>
        </w:tc>
        <w:tc>
          <w:tcPr>
            <w:tcW w:w="607" w:type="dxa"/>
            <w:tcBorders>
              <w:top w:val="single" w:color="auto" w:sz="10" w:space="0"/>
              <w:left w:val="single" w:color="auto" w:sz="10" w:space="0"/>
              <w:bottom w:val="single" w:color="auto" w:sz="10" w:space="0"/>
              <w:right w:val="single" w:color="auto" w:sz="10" w:space="0"/>
              <w:insideV w:val="single" w:sz="10" w:space="0"/>
            </w:tcBorders>
          </w:tcPr>
          <w:p w14:paraId="2358ECE1"/>
        </w:tc>
        <w:tc>
          <w:tcPr>
            <w:tcW w:w="860" w:type="dxa"/>
            <w:tcBorders>
              <w:top w:val="single" w:color="auto" w:sz="10" w:space="0"/>
              <w:left w:val="single" w:color="auto" w:sz="10" w:space="0"/>
              <w:bottom w:val="single" w:color="auto" w:sz="10" w:space="0"/>
              <w:right w:val="single" w:color="auto" w:sz="10" w:space="0"/>
              <w:insideV w:val="single" w:sz="10" w:space="0"/>
            </w:tcBorders>
          </w:tcPr>
          <w:p w14:paraId="70D980D7"/>
        </w:tc>
      </w:tr>
    </w:tbl>
    <w:p w14:paraId="3280D247">
      <w:r>
        <w:br w:type="page"/>
      </w:r>
    </w:p>
    <w:tbl>
      <w:tblPr>
        <w:tblStyle w:val="9"/>
        <w:tblW w:w="0" w:type="auto"/>
        <w:tblInd w:w="0" w:type="dxa"/>
        <w:tblLayout w:type="autofit"/>
        <w:tblCellMar>
          <w:top w:w="0" w:type="dxa"/>
          <w:left w:w="108" w:type="dxa"/>
          <w:bottom w:w="0" w:type="dxa"/>
          <w:right w:w="108" w:type="dxa"/>
        </w:tblCellMar>
      </w:tblPr>
      <w:tblGrid>
        <w:gridCol w:w="625"/>
        <w:gridCol w:w="615"/>
        <w:gridCol w:w="615"/>
        <w:gridCol w:w="615"/>
        <w:gridCol w:w="620"/>
        <w:gridCol w:w="626"/>
        <w:gridCol w:w="776"/>
        <w:gridCol w:w="776"/>
        <w:gridCol w:w="631"/>
        <w:gridCol w:w="615"/>
        <w:gridCol w:w="615"/>
        <w:gridCol w:w="615"/>
        <w:gridCol w:w="620"/>
        <w:gridCol w:w="696"/>
      </w:tblGrid>
      <w:tr w14:paraId="7D8B647A">
        <w:tblPrEx>
          <w:tblCellMar>
            <w:top w:w="0" w:type="dxa"/>
            <w:left w:w="108" w:type="dxa"/>
            <w:bottom w:w="0" w:type="dxa"/>
            <w:right w:w="108" w:type="dxa"/>
          </w:tblCellMar>
        </w:tblPrEx>
        <w:tc>
          <w:tcPr>
            <w:tcW w:w="8848" w:type="dxa"/>
            <w:gridSpan w:val="14"/>
            <w:vAlign w:val="center"/>
          </w:tcPr>
          <w:p w14:paraId="3ADC7234">
            <w:pPr>
              <w:jc w:val="center"/>
            </w:pPr>
            <w:r>
              <w:rPr>
                <w:rFonts w:ascii="宋体" w:hAnsi="宋体" w:eastAsia="宋体"/>
                <w:sz w:val="24"/>
              </w:rPr>
              <w:t>项目支出绩效自评表</w:t>
            </w:r>
          </w:p>
        </w:tc>
      </w:tr>
      <w:tr w14:paraId="35D57D07">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51140A">
            <w:pPr>
              <w:jc w:val="center"/>
            </w:pPr>
            <w:r>
              <w:rPr>
                <w:rFonts w:ascii="宋体" w:hAnsi="宋体" w:eastAsia="宋体"/>
                <w:sz w:val="24"/>
              </w:rPr>
              <w:t>(2024年度)</w:t>
            </w:r>
          </w:p>
        </w:tc>
      </w:tr>
      <w:tr w14:paraId="20FFD2F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DD154">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8FFFB59">
            <w:pPr>
              <w:jc w:val="center"/>
            </w:pPr>
            <w:r>
              <w:rPr>
                <w:rFonts w:ascii="宋体" w:hAnsi="宋体" w:eastAsia="宋体"/>
                <w:sz w:val="16"/>
              </w:rPr>
              <w:t>老奇台法庭维修项目</w:t>
            </w:r>
          </w:p>
        </w:tc>
      </w:tr>
      <w:tr w14:paraId="404D59B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4E7D81">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3CE6BE">
            <w:pPr>
              <w:jc w:val="center"/>
            </w:pPr>
            <w:r>
              <w:rPr>
                <w:rFonts w:ascii="宋体" w:hAnsi="宋体" w:eastAsia="宋体"/>
                <w:sz w:val="16"/>
              </w:rPr>
              <w:t>奇台县人民法院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449CDC">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3D8BDA">
            <w:pPr>
              <w:jc w:val="center"/>
            </w:pPr>
            <w:r>
              <w:rPr>
                <w:rFonts w:ascii="宋体" w:hAnsi="宋体" w:eastAsia="宋体"/>
                <w:sz w:val="16"/>
              </w:rPr>
              <w:t>奇台县人民法院</w:t>
            </w:r>
          </w:p>
        </w:tc>
      </w:tr>
      <w:tr w14:paraId="7D4B7FB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BD1E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DF9B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49E95">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92AD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D2A8CF">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B25F25">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44E64F">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208CC9">
            <w:pPr>
              <w:jc w:val="center"/>
            </w:pPr>
            <w:r>
              <w:rPr>
                <w:rFonts w:ascii="宋体" w:hAnsi="宋体" w:eastAsia="宋体"/>
                <w:sz w:val="16"/>
              </w:rPr>
              <w:t>得分</w:t>
            </w:r>
          </w:p>
        </w:tc>
      </w:tr>
      <w:tr w14:paraId="1A9DB4F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EC245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71DCC7">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9FD5DC">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2A114">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9AB97">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A589E1">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1E1D2C">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91FBAD">
            <w:pPr>
              <w:jc w:val="center"/>
            </w:pPr>
            <w:r>
              <w:rPr>
                <w:rFonts w:ascii="宋体" w:hAnsi="宋体" w:eastAsia="宋体"/>
                <w:sz w:val="16"/>
              </w:rPr>
              <w:t>10.00</w:t>
            </w:r>
          </w:p>
        </w:tc>
      </w:tr>
      <w:tr w14:paraId="2E72F3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C97B7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D08AD3">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CCB1B">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56C8F">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62A297">
            <w:pPr>
              <w:jc w:val="center"/>
            </w:pPr>
            <w:r>
              <w:rPr>
                <w:rFonts w:ascii="宋体" w:hAnsi="宋体" w:eastAsia="宋体"/>
                <w:sz w:val="16"/>
              </w:rPr>
              <w:t>32.22</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4FADE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831AC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51D07C">
            <w:pPr>
              <w:jc w:val="center"/>
            </w:pPr>
            <w:r>
              <w:rPr>
                <w:rFonts w:ascii="宋体" w:hAnsi="宋体" w:eastAsia="宋体"/>
                <w:sz w:val="16"/>
              </w:rPr>
              <w:t>—</w:t>
            </w:r>
          </w:p>
        </w:tc>
      </w:tr>
      <w:tr w14:paraId="1512F01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6F94C1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FB976E">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41915A">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F131C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AAB57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47FDF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3A29B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AB0D5C">
            <w:pPr>
              <w:jc w:val="center"/>
            </w:pPr>
            <w:r>
              <w:rPr>
                <w:rFonts w:ascii="宋体" w:hAnsi="宋体" w:eastAsia="宋体"/>
                <w:sz w:val="16"/>
              </w:rPr>
              <w:t>—</w:t>
            </w:r>
          </w:p>
        </w:tc>
      </w:tr>
      <w:tr w14:paraId="7497E2B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7D644A">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46F1C6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F922B2">
            <w:pPr>
              <w:jc w:val="center"/>
            </w:pPr>
            <w:r>
              <w:rPr>
                <w:rFonts w:ascii="宋体" w:hAnsi="宋体" w:eastAsia="宋体"/>
                <w:sz w:val="16"/>
              </w:rPr>
              <w:t>实际完成情况</w:t>
            </w:r>
          </w:p>
        </w:tc>
      </w:tr>
      <w:tr w14:paraId="1496D3E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EF598A"/>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98B7E7E">
            <w:pPr>
              <w:jc w:val="both"/>
            </w:pPr>
            <w:r>
              <w:rPr>
                <w:rFonts w:ascii="宋体" w:hAnsi="宋体" w:eastAsia="宋体"/>
                <w:sz w:val="16"/>
              </w:rPr>
              <w:t>为了维修老奇台法庭墙面、地面以及审判大楼一楼地基塌，</w:t>
            </w:r>
            <w:r>
              <w:rPr>
                <w:rFonts w:hint="eastAsia" w:ascii="宋体" w:hAnsi="宋体"/>
                <w:sz w:val="16"/>
                <w:lang w:eastAsia="zh-CN"/>
              </w:rPr>
              <w:t>现</w:t>
            </w:r>
            <w:r>
              <w:rPr>
                <w:rFonts w:ascii="宋体" w:hAnsi="宋体" w:eastAsia="宋体"/>
                <w:sz w:val="16"/>
              </w:rPr>
              <w:t>年久失修，修缮大约250平方米，能够保障法庭正常运行，开展审判工作，为当事人提供便利，进而提升法院的服务效率，</w:t>
            </w:r>
            <w:r>
              <w:rPr>
                <w:rFonts w:hint="eastAsia" w:ascii="宋体" w:hAnsi="宋体"/>
                <w:sz w:val="16"/>
                <w:lang w:eastAsia="zh-CN"/>
              </w:rPr>
              <w:t>维护社会公平正义</w:t>
            </w:r>
            <w:r>
              <w:rPr>
                <w:rFonts w:ascii="宋体" w:hAnsi="宋体" w:eastAsia="宋体"/>
                <w:sz w:val="16"/>
              </w:rPr>
              <w:t>。</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5B8EA2">
            <w:pPr>
              <w:jc w:val="both"/>
            </w:pPr>
            <w:r>
              <w:rPr>
                <w:rFonts w:hint="eastAsia" w:ascii="宋体" w:hAnsi="宋体"/>
                <w:sz w:val="16"/>
                <w:lang w:eastAsia="zh-CN"/>
              </w:rPr>
              <w:t>截至2024</w:t>
            </w:r>
            <w:r>
              <w:rPr>
                <w:rFonts w:ascii="宋体" w:hAnsi="宋体" w:eastAsia="宋体"/>
                <w:sz w:val="16"/>
              </w:rPr>
              <w:t>年12月31日，该项目实际完成老奇台法庭维修项目数量3个，修缮面积为150平方米，维修项目政府采购率为100%，项目完工验收合格率为100%，资金支付率为100%，该项目于8月18日已完工，通过该项目实施，有效改善了办公场所，提高工作效率，服务了群众有效</w:t>
            </w:r>
            <w:r>
              <w:rPr>
                <w:rFonts w:hint="eastAsia" w:ascii="宋体" w:hAnsi="宋体"/>
                <w:sz w:val="16"/>
                <w:lang w:eastAsia="zh-CN"/>
              </w:rPr>
              <w:t>地</w:t>
            </w:r>
            <w:r>
              <w:rPr>
                <w:rFonts w:ascii="宋体" w:hAnsi="宋体" w:eastAsia="宋体"/>
                <w:sz w:val="16"/>
              </w:rPr>
              <w:t>维护了社会公平正义。</w:t>
            </w:r>
          </w:p>
        </w:tc>
      </w:tr>
      <w:tr w14:paraId="196A90A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08016F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E176BE">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469A04">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AF67D6">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28492A">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9DF6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2617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DD59F0">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61D3F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17655B">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ED8AE">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3F81B">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1C5945">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9F15BE">
            <w:pPr>
              <w:jc w:val="center"/>
            </w:pPr>
            <w:r>
              <w:rPr>
                <w:rFonts w:ascii="宋体" w:hAnsi="宋体" w:eastAsia="宋体"/>
                <w:sz w:val="16"/>
              </w:rPr>
              <w:t>偏差原因分析及改进措施</w:t>
            </w:r>
          </w:p>
        </w:tc>
      </w:tr>
      <w:tr w14:paraId="26B1B46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2737AF">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D9F9D">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4F944E">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5326B0">
            <w:pPr>
              <w:jc w:val="center"/>
            </w:pPr>
            <w:r>
              <w:rPr>
                <w:rFonts w:ascii="宋体" w:hAnsi="宋体" w:eastAsia="宋体"/>
                <w:sz w:val="16"/>
              </w:rPr>
              <w:t>零星维修项目数量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84993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AE9150">
            <w:pPr>
              <w:jc w:val="center"/>
            </w:pPr>
            <w:r>
              <w:rPr>
                <w:rFonts w:ascii="宋体" w:hAnsi="宋体" w:eastAsia="宋体"/>
                <w:sz w:val="16"/>
              </w:rPr>
              <w:t>&gt;3个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DBA3A7">
            <w:pPr>
              <w:jc w:val="center"/>
            </w:pPr>
            <w:r>
              <w:rPr>
                <w:rFonts w:ascii="宋体" w:hAnsi="宋体" w:eastAsia="宋体"/>
                <w:sz w:val="16"/>
              </w:rPr>
              <w:t>=3个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6F4B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7BCE8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8E90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0C29C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FE27E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E3DD79">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AA236E">
            <w:pPr>
              <w:jc w:val="center"/>
            </w:pPr>
          </w:p>
        </w:tc>
      </w:tr>
      <w:tr w14:paraId="6ECE46B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761DF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C8AB41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AEF49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F0656E">
            <w:pPr>
              <w:jc w:val="center"/>
            </w:pPr>
            <w:r>
              <w:rPr>
                <w:rFonts w:ascii="宋体" w:hAnsi="宋体" w:eastAsia="宋体"/>
                <w:sz w:val="16"/>
              </w:rPr>
              <w:t>修缮面积</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2BD82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001E13">
            <w:pPr>
              <w:jc w:val="center"/>
            </w:pPr>
            <w:r>
              <w:rPr>
                <w:rFonts w:ascii="宋体" w:hAnsi="宋体" w:eastAsia="宋体"/>
                <w:sz w:val="16"/>
              </w:rPr>
              <w:t>&gt;150平方米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3C9752">
            <w:pPr>
              <w:jc w:val="center"/>
            </w:pPr>
            <w:r>
              <w:rPr>
                <w:rFonts w:ascii="宋体" w:hAnsi="宋体" w:eastAsia="宋体"/>
                <w:sz w:val="16"/>
              </w:rPr>
              <w:t>=150平方米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79DE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CAC8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1BA36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2E898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026F6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A27930">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7CEBBA">
            <w:pPr>
              <w:jc w:val="center"/>
            </w:pPr>
          </w:p>
        </w:tc>
      </w:tr>
      <w:tr w14:paraId="190EB30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F499B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3C2D7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39C822">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B878B3">
            <w:pPr>
              <w:jc w:val="center"/>
            </w:pPr>
            <w:r>
              <w:rPr>
                <w:rFonts w:ascii="宋体" w:hAnsi="宋体" w:eastAsia="宋体"/>
                <w:sz w:val="16"/>
              </w:rPr>
              <w:t>政府采购率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3D37F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789D41">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1D082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FBC917">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A54DF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4A836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E53E3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608047">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1522B4">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5056D9">
            <w:pPr>
              <w:jc w:val="center"/>
            </w:pPr>
            <w:r>
              <w:rPr>
                <w:rFonts w:ascii="宋体" w:hAnsi="宋体" w:eastAsia="宋体"/>
                <w:sz w:val="16"/>
              </w:rPr>
              <w:t>维修项目均通过政府采购进行，政府采购率为100%，预算指标设置不规范，造成偏差</w:t>
            </w:r>
          </w:p>
        </w:tc>
      </w:tr>
      <w:tr w14:paraId="687E828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DC9A1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071A1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82487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E2304E">
            <w:pPr>
              <w:jc w:val="center"/>
            </w:pPr>
            <w:r>
              <w:rPr>
                <w:rFonts w:ascii="宋体" w:hAnsi="宋体" w:eastAsia="宋体"/>
                <w:sz w:val="16"/>
              </w:rPr>
              <w:t>维修验收合格率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A644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5C2B25">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CEF1B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5730EA">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9DFE3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89C9C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2603C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4B3CC7">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286A6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B1CD6E">
            <w:pPr>
              <w:jc w:val="center"/>
            </w:pPr>
            <w:r>
              <w:rPr>
                <w:rFonts w:ascii="宋体" w:hAnsi="宋体" w:eastAsia="宋体"/>
                <w:sz w:val="16"/>
              </w:rPr>
              <w:t>所有项目均已完工且通过验收，验收合格率为100%，预算指标设置不规范，造成偏差</w:t>
            </w:r>
          </w:p>
        </w:tc>
      </w:tr>
      <w:tr w14:paraId="295F20E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5C1161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F44B2A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5CE29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5340F3">
            <w:pPr>
              <w:jc w:val="center"/>
            </w:pPr>
            <w:r>
              <w:rPr>
                <w:rFonts w:ascii="宋体" w:hAnsi="宋体" w:eastAsia="宋体"/>
                <w:sz w:val="16"/>
              </w:rPr>
              <w:t>维修项目资金支付率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6885B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7FC33">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2BF93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48A17A">
            <w:pPr>
              <w:jc w:val="center"/>
            </w:pPr>
            <w:r>
              <w:rPr>
                <w:rFonts w:ascii="宋体" w:hAnsi="宋体" w:eastAsia="宋体"/>
                <w:sz w:val="16"/>
              </w:rPr>
              <w:t>111.11%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8F395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EC2A46">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54045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F765A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ED100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E25565">
            <w:pPr>
              <w:jc w:val="center"/>
            </w:pPr>
            <w:r>
              <w:rPr>
                <w:rFonts w:ascii="宋体" w:hAnsi="宋体" w:eastAsia="宋体"/>
                <w:sz w:val="16"/>
              </w:rPr>
              <w:t>项目资金支付率为100%，预算指标设置不规范，造成偏差</w:t>
            </w:r>
          </w:p>
        </w:tc>
      </w:tr>
      <w:tr w14:paraId="515C5D2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24E60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0344B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9A41F">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154138">
            <w:pPr>
              <w:jc w:val="center"/>
            </w:pPr>
            <w:r>
              <w:rPr>
                <w:rFonts w:ascii="宋体" w:hAnsi="宋体" w:eastAsia="宋体"/>
                <w:sz w:val="16"/>
              </w:rPr>
              <w:t>维修完工时间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AC6B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22BDCE">
            <w:pPr>
              <w:jc w:val="center"/>
            </w:pPr>
            <w:r>
              <w:rPr>
                <w:rFonts w:ascii="宋体" w:hAnsi="宋体" w:eastAsia="宋体"/>
                <w:sz w:val="16"/>
              </w:rPr>
              <w:t>12月31日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30A46">
            <w:pPr>
              <w:jc w:val="center"/>
            </w:pPr>
            <w:r>
              <w:rPr>
                <w:rFonts w:ascii="宋体" w:hAnsi="宋体" w:eastAsia="宋体"/>
                <w:sz w:val="16"/>
              </w:rPr>
              <w:t>8月18日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44665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4C27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45C6A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59481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33E5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F0C9D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7A270">
            <w:pPr>
              <w:jc w:val="center"/>
            </w:pPr>
          </w:p>
        </w:tc>
      </w:tr>
      <w:tr w14:paraId="295CBFB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0B3DB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8F24DA">
            <w:pPr>
              <w:jc w:val="center"/>
            </w:pPr>
            <w:r>
              <w:rPr>
                <w:rFonts w:ascii="宋体" w:hAnsi="宋体" w:eastAsia="宋体"/>
                <w:sz w:val="16"/>
              </w:rPr>
              <w:t>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E06F7E">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B47B6">
            <w:pPr>
              <w:jc w:val="center"/>
            </w:pPr>
            <w:r>
              <w:rPr>
                <w:rFonts w:ascii="宋体" w:hAnsi="宋体" w:eastAsia="宋体"/>
                <w:sz w:val="16"/>
              </w:rPr>
              <w:t>每个零星维修项目成本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26600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5F9B72">
            <w:pPr>
              <w:jc w:val="center"/>
            </w:pPr>
            <w:r>
              <w:rPr>
                <w:rFonts w:ascii="宋体" w:hAnsi="宋体" w:eastAsia="宋体"/>
                <w:sz w:val="16"/>
              </w:rPr>
              <w:t>&lt;=10万元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58D929">
            <w:pPr>
              <w:jc w:val="center"/>
            </w:pPr>
            <w:r>
              <w:rPr>
                <w:rFonts w:ascii="宋体" w:hAnsi="宋体" w:eastAsia="宋体"/>
                <w:sz w:val="16"/>
              </w:rPr>
              <w:t>=10.74万元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1C5A6E">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9C9D00">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99FA2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0C67E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B84BA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F9A14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057F77">
            <w:pPr>
              <w:jc w:val="center"/>
            </w:pPr>
            <w:r>
              <w:rPr>
                <w:rFonts w:ascii="宋体" w:hAnsi="宋体" w:eastAsia="宋体"/>
                <w:sz w:val="16"/>
              </w:rPr>
              <w:t>零星维修项目总价32.22</w:t>
            </w:r>
            <w:r>
              <w:rPr>
                <w:rFonts w:hint="eastAsia" w:ascii="宋体" w:hAnsi="宋体"/>
                <w:sz w:val="16"/>
                <w:lang w:eastAsia="zh-CN"/>
              </w:rPr>
              <w:t>万元</w:t>
            </w:r>
            <w:r>
              <w:rPr>
                <w:rFonts w:ascii="宋体" w:hAnsi="宋体" w:eastAsia="宋体"/>
                <w:sz w:val="16"/>
              </w:rPr>
              <w:t>，3个每个项目成本为10.74万元，预算指标设置不规范，造成偏差</w:t>
            </w:r>
          </w:p>
        </w:tc>
      </w:tr>
      <w:tr w14:paraId="07631BE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71518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26C90C">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054877">
            <w:pPr>
              <w:jc w:val="center"/>
            </w:pPr>
            <w:r>
              <w:rPr>
                <w:rFonts w:ascii="宋体" w:hAnsi="宋体" w:eastAsia="宋体"/>
                <w:sz w:val="16"/>
              </w:rPr>
              <w:t>经济效益指标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D8F2AB">
            <w:pPr>
              <w:jc w:val="center"/>
            </w:pPr>
            <w:r>
              <w:rPr>
                <w:rFonts w:ascii="宋体" w:hAnsi="宋体" w:eastAsia="宋体"/>
                <w:sz w:val="16"/>
              </w:rPr>
              <w:t>维护社会公平正义</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3FC1A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9BE0F8">
            <w:pPr>
              <w:jc w:val="center"/>
            </w:pPr>
            <w:r>
              <w:rPr>
                <w:rFonts w:ascii="宋体" w:hAnsi="宋体" w:eastAsia="宋体"/>
                <w:sz w:val="16"/>
              </w:rPr>
              <w:t>长久</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22D30D">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72FD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BEA8C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E93F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D8A17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1190D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71ACC">
            <w:pPr>
              <w:jc w:val="center"/>
            </w:pPr>
            <w:r>
              <w:rPr>
                <w:rFonts w:ascii="宋体" w:hAnsi="宋体" w:eastAsia="宋体"/>
                <w:sz w:val="16"/>
              </w:rPr>
              <w:t>工作资料,说明材料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240574">
            <w:pPr>
              <w:jc w:val="center"/>
            </w:pPr>
          </w:p>
        </w:tc>
      </w:tr>
      <w:tr w14:paraId="0475632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2BC37C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329CEF">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80A67">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D76B8F">
            <w:pPr>
              <w:jc w:val="center"/>
            </w:pPr>
            <w:r>
              <w:rPr>
                <w:rFonts w:ascii="宋体" w:hAnsi="宋体" w:eastAsia="宋体"/>
                <w:sz w:val="16"/>
              </w:rPr>
              <w:t>干警满意率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394F2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9DB7E4">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6A1987">
            <w:pPr>
              <w:jc w:val="center"/>
            </w:pPr>
            <w:r>
              <w:rPr>
                <w:rFonts w:ascii="宋体" w:hAnsi="宋体" w:eastAsia="宋体"/>
                <w:sz w:val="16"/>
              </w:rPr>
              <w:t>=99.22%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D71340">
            <w:pPr>
              <w:jc w:val="center"/>
            </w:pPr>
            <w:r>
              <w:rPr>
                <w:rFonts w:ascii="宋体" w:hAnsi="宋体" w:eastAsia="宋体"/>
                <w:sz w:val="16"/>
              </w:rPr>
              <w:t>110.24%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D764B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B2209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D685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A6F253">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9ED1A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35631">
            <w:pPr>
              <w:jc w:val="center"/>
            </w:pPr>
            <w:r>
              <w:rPr>
                <w:rFonts w:ascii="宋体" w:hAnsi="宋体" w:eastAsia="宋体"/>
                <w:sz w:val="16"/>
              </w:rPr>
              <w:t>干警满意率指标测算不精准，造成偏差</w:t>
            </w:r>
          </w:p>
        </w:tc>
      </w:tr>
      <w:tr w14:paraId="3C83679D">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A3BE3C">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3A45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D4A81C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CE213D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8BE52E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360675">
            <w:pPr>
              <w:jc w:val="center"/>
            </w:pPr>
            <w:r>
              <w:rPr>
                <w:rFonts w:ascii="宋体" w:hAnsi="宋体" w:eastAsia="宋体"/>
                <w:sz w:val="16"/>
              </w:rPr>
              <w:t>90.00分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E91493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9D518D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9792FA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CA1717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9F49367"/>
        </w:tc>
      </w:tr>
    </w:tbl>
    <w:p w14:paraId="47B4EB18">
      <w:r>
        <w:br w:type="page"/>
      </w:r>
    </w:p>
    <w:p w14:paraId="585111EC">
      <w:pPr>
        <w:spacing w:line="640" w:lineRule="exact"/>
        <w:ind w:firstLine="640"/>
        <w:jc w:val="both"/>
        <w:outlineLvl w:val="2"/>
      </w:pPr>
      <w:r>
        <w:rPr>
          <w:rFonts w:ascii="黑体" w:hAnsi="黑体" w:eastAsia="黑体"/>
          <w:sz w:val="32"/>
        </w:rPr>
        <w:t>十二、其他需说明的事项</w:t>
      </w:r>
    </w:p>
    <w:p w14:paraId="30FF2C0F">
      <w:pPr>
        <w:spacing w:line="580" w:lineRule="exact"/>
        <w:ind w:firstLine="640"/>
        <w:jc w:val="both"/>
      </w:pPr>
      <w:r>
        <w:rPr>
          <w:rFonts w:ascii="仿宋_GB2312" w:hAnsi="仿宋_GB2312" w:eastAsia="仿宋_GB2312"/>
          <w:b w:val="0"/>
          <w:sz w:val="32"/>
        </w:rPr>
        <w:t>本年本单位SM项目1个，全年预算数416.69万元，全年执行数400.43万元。</w:t>
      </w:r>
    </w:p>
    <w:p w14:paraId="0AB1BA85">
      <w:r>
        <w:br w:type="page"/>
      </w:r>
    </w:p>
    <w:p w14:paraId="28D516E0">
      <w:pPr>
        <w:spacing w:line="240" w:lineRule="auto"/>
        <w:jc w:val="center"/>
        <w:outlineLvl w:val="1"/>
      </w:pPr>
      <w:r>
        <w:rPr>
          <w:rFonts w:ascii="黑体" w:hAnsi="黑体" w:eastAsia="黑体"/>
          <w:sz w:val="32"/>
        </w:rPr>
        <w:t>第三部分 专业名词解释</w:t>
      </w:r>
    </w:p>
    <w:p w14:paraId="1BD2137B">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4629BB25">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D2B9701">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7F99FF53">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32105B3">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27C41BAB">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071435FF">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3A4F5BC2">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0873FD32">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7CF53C2A">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48EEB1A2">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4FA1D08C">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170BC451">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5473082F">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00D5A717">
      <w:r>
        <w:br w:type="page"/>
      </w:r>
    </w:p>
    <w:p w14:paraId="176FF51C">
      <w:pPr>
        <w:spacing w:line="240" w:lineRule="auto"/>
        <w:jc w:val="center"/>
        <w:outlineLvl w:val="1"/>
      </w:pPr>
      <w:r>
        <w:rPr>
          <w:rFonts w:ascii="黑体" w:hAnsi="黑体" w:eastAsia="黑体"/>
          <w:sz w:val="32"/>
        </w:rPr>
        <w:t>第四部分 部门决算报表（见附表）</w:t>
      </w:r>
    </w:p>
    <w:p w14:paraId="344200CC">
      <w:pPr>
        <w:spacing w:line="240" w:lineRule="auto"/>
        <w:ind w:firstLine="640"/>
        <w:jc w:val="both"/>
      </w:pPr>
      <w:r>
        <w:rPr>
          <w:rFonts w:ascii="仿宋_GB2312" w:hAnsi="仿宋_GB2312" w:eastAsia="仿宋_GB2312"/>
          <w:b w:val="0"/>
          <w:sz w:val="32"/>
        </w:rPr>
        <w:t>一、《收入支出决算总表》</w:t>
      </w:r>
    </w:p>
    <w:p w14:paraId="0FF9B089">
      <w:pPr>
        <w:spacing w:line="240" w:lineRule="auto"/>
        <w:ind w:firstLine="640"/>
        <w:jc w:val="both"/>
      </w:pPr>
      <w:r>
        <w:rPr>
          <w:rFonts w:ascii="仿宋_GB2312" w:hAnsi="仿宋_GB2312" w:eastAsia="仿宋_GB2312"/>
          <w:b w:val="0"/>
          <w:sz w:val="32"/>
        </w:rPr>
        <w:t>二、《收入决算表》</w:t>
      </w:r>
    </w:p>
    <w:p w14:paraId="65F9704C">
      <w:pPr>
        <w:spacing w:line="240" w:lineRule="auto"/>
        <w:ind w:firstLine="640"/>
        <w:jc w:val="both"/>
      </w:pPr>
      <w:r>
        <w:rPr>
          <w:rFonts w:ascii="仿宋_GB2312" w:hAnsi="仿宋_GB2312" w:eastAsia="仿宋_GB2312"/>
          <w:b w:val="0"/>
          <w:sz w:val="32"/>
        </w:rPr>
        <w:t>三、《支出决算表》</w:t>
      </w:r>
    </w:p>
    <w:p w14:paraId="22093D63">
      <w:pPr>
        <w:spacing w:line="240" w:lineRule="auto"/>
        <w:ind w:firstLine="640"/>
        <w:jc w:val="both"/>
      </w:pPr>
      <w:r>
        <w:rPr>
          <w:rFonts w:ascii="仿宋_GB2312" w:hAnsi="仿宋_GB2312" w:eastAsia="仿宋_GB2312"/>
          <w:b w:val="0"/>
          <w:sz w:val="32"/>
        </w:rPr>
        <w:t>四、《财政拨款收入支出决算总表》</w:t>
      </w:r>
    </w:p>
    <w:p w14:paraId="6E809C82">
      <w:pPr>
        <w:spacing w:line="240" w:lineRule="auto"/>
        <w:ind w:firstLine="640"/>
        <w:jc w:val="both"/>
      </w:pPr>
      <w:r>
        <w:rPr>
          <w:rFonts w:ascii="仿宋_GB2312" w:hAnsi="仿宋_GB2312" w:eastAsia="仿宋_GB2312"/>
          <w:b w:val="0"/>
          <w:sz w:val="32"/>
        </w:rPr>
        <w:t>五、《一般公共预算财政拨款支出决算表》</w:t>
      </w:r>
    </w:p>
    <w:p w14:paraId="22ABE9F7">
      <w:pPr>
        <w:spacing w:line="240" w:lineRule="auto"/>
        <w:ind w:firstLine="640"/>
        <w:jc w:val="both"/>
      </w:pPr>
      <w:r>
        <w:rPr>
          <w:rFonts w:ascii="仿宋_GB2312" w:hAnsi="仿宋_GB2312" w:eastAsia="仿宋_GB2312"/>
          <w:b w:val="0"/>
          <w:sz w:val="32"/>
        </w:rPr>
        <w:t>六、《一般公共预算财政拨款基本支出决算表》</w:t>
      </w:r>
    </w:p>
    <w:p w14:paraId="45035EB7">
      <w:pPr>
        <w:spacing w:line="240" w:lineRule="auto"/>
        <w:ind w:firstLine="640"/>
        <w:jc w:val="both"/>
      </w:pPr>
      <w:r>
        <w:rPr>
          <w:rFonts w:ascii="仿宋_GB2312" w:hAnsi="仿宋_GB2312" w:eastAsia="仿宋_GB2312"/>
          <w:b w:val="0"/>
          <w:sz w:val="32"/>
        </w:rPr>
        <w:t>七、《政府性基金预算财政拨款收入支出决算表》</w:t>
      </w:r>
    </w:p>
    <w:p w14:paraId="2D499D27">
      <w:pPr>
        <w:spacing w:line="240" w:lineRule="auto"/>
        <w:ind w:firstLine="640"/>
        <w:jc w:val="both"/>
      </w:pPr>
      <w:r>
        <w:rPr>
          <w:rFonts w:ascii="仿宋_GB2312" w:hAnsi="仿宋_GB2312" w:eastAsia="仿宋_GB2312"/>
          <w:b w:val="0"/>
          <w:sz w:val="32"/>
        </w:rPr>
        <w:t>八、《国有资本经营预算财政拨款收入支出决算表》</w:t>
      </w:r>
    </w:p>
    <w:p w14:paraId="7286C353">
      <w:pPr>
        <w:spacing w:line="240" w:lineRule="auto"/>
        <w:ind w:firstLine="640"/>
        <w:jc w:val="both"/>
      </w:pPr>
      <w:r>
        <w:rPr>
          <w:rFonts w:ascii="仿宋_GB2312" w:hAnsi="仿宋_GB2312" w:eastAsia="仿宋_GB2312"/>
          <w:b w:val="0"/>
          <w:sz w:val="32"/>
        </w:rPr>
        <w:t>九、《财政拨款“三公”经费支出决算表》</w:t>
      </w:r>
    </w:p>
    <w:p w14:paraId="037EA5AE">
      <w:pPr>
        <w:spacing w:line="240" w:lineRule="auto"/>
        <w:ind w:firstLine="640"/>
        <w:jc w:val="both"/>
      </w:pPr>
    </w:p>
    <w:p w14:paraId="55416BBE">
      <w:pPr>
        <w:spacing w:line="240" w:lineRule="auto"/>
        <w:ind w:firstLine="640"/>
        <w:jc w:val="both"/>
      </w:pPr>
    </w:p>
    <w:p w14:paraId="58225FE1">
      <w:pPr>
        <w:spacing w:line="240" w:lineRule="auto"/>
        <w:ind w:firstLine="640"/>
        <w:jc w:val="both"/>
      </w:pPr>
    </w:p>
    <w:p w14:paraId="56B9C6F9">
      <w:pPr>
        <w:spacing w:line="240" w:lineRule="auto"/>
        <w:ind w:firstLine="640"/>
        <w:jc w:val="both"/>
      </w:pPr>
    </w:p>
    <w:p w14:paraId="1D7EBE8E">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B4C8FD-4B77-4437-98EB-A97C2D4073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4141F64C-0B1D-43AC-99FB-96FC9895C056}"/>
  </w:font>
  <w:font w:name="仿宋_GB2312">
    <w:altName w:val="仿宋"/>
    <w:panose1 w:val="02010609030101010101"/>
    <w:charset w:val="86"/>
    <w:family w:val="modern"/>
    <w:pitch w:val="default"/>
    <w:sig w:usb0="00000000" w:usb1="00000000" w:usb2="00000000" w:usb3="00000000" w:csb0="00040000" w:csb1="00000000"/>
    <w:embedRegular r:id="rId3" w:fontKey="{1BB73322-B09B-4D17-A1A1-F72956C06B74}"/>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F40F60C5-0A0C-4B57-811E-A7E310CABB4E}"/>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4552F76"/>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7676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400693A"/>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6311</Words>
  <Characters>7311</Characters>
  <Lines>0</Lines>
  <Paragraphs>0</Paragraphs>
  <TotalTime>13</TotalTime>
  <ScaleCrop>false</ScaleCrop>
  <LinksUpToDate>false</LinksUpToDate>
  <CharactersWithSpaces>7319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