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B7B76">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bookmarkStart w:id="0" w:name="_GoBack"/>
      <w:bookmarkEnd w:id="0"/>
    </w:p>
    <w:p w14:paraId="0FEDF7D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59D1D77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636047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37E399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DACF2E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lang w:val="en-US" w:eastAsia="zh-CN"/>
        </w:rPr>
        <w:t>昌吉回族自治州法学会2024</w:t>
      </w:r>
      <w:r>
        <w:rPr>
          <w:rFonts w:hint="eastAsia" w:ascii="方正小标宋_GBK" w:hAnsi="宋体" w:eastAsia="方正小标宋_GBK"/>
          <w:sz w:val="44"/>
          <w:szCs w:val="44"/>
          <w:highlight w:val="none"/>
          <w:lang w:eastAsia="zh-CN"/>
        </w:rPr>
        <w:t>年度</w:t>
      </w:r>
      <w:r>
        <w:rPr>
          <w:rFonts w:hint="eastAsia" w:ascii="方正小标宋_GBK" w:hAnsi="宋体" w:eastAsia="方正小标宋_GBK"/>
          <w:sz w:val="44"/>
          <w:szCs w:val="44"/>
          <w:highlight w:val="none"/>
        </w:rPr>
        <w:t>部门决算</w:t>
      </w:r>
    </w:p>
    <w:p w14:paraId="0197314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rPr>
        <w:t>公开说明</w:t>
      </w:r>
    </w:p>
    <w:p w14:paraId="2E37F80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14:paraId="6D30421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单位概况</w:t>
      </w:r>
      <w:r>
        <w:rPr>
          <w:rFonts w:hint="eastAsia" w:ascii="仿宋_GB2312" w:hAnsi="仿宋_GB2312" w:eastAsia="仿宋_GB2312" w:cs="仿宋_GB2312"/>
          <w:b/>
          <w:bCs/>
          <w:sz w:val="32"/>
          <w:szCs w:val="32"/>
          <w:highlight w:val="none"/>
        </w:rPr>
        <w:fldChar w:fldCharType="end"/>
      </w:r>
    </w:p>
    <w:p w14:paraId="4C839E70">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14:paraId="57C435C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bCs/>
          <w:kern w:val="0"/>
          <w:sz w:val="32"/>
          <w:szCs w:val="32"/>
          <w:highlight w:val="none"/>
          <w:lang w:eastAsia="zh-CN"/>
        </w:rPr>
        <w:t>及人员</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sz w:val="32"/>
          <w:szCs w:val="32"/>
          <w:highlight w:val="none"/>
        </w:rPr>
        <w:fldChar w:fldCharType="end"/>
      </w:r>
    </w:p>
    <w:p w14:paraId="0BE8C167">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14:paraId="148756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14:paraId="5C269B25">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14:paraId="5AF5F9A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14:paraId="107F52B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14:paraId="63D16B9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14:paraId="752323E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14:paraId="65FD508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14:paraId="6BD03571">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14:paraId="1B749B6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14:paraId="46574738">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14:paraId="28638EA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14:paraId="4BE8723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248C12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66AB02A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14:paraId="496130BB">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14:paraId="5BAB1FC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14:paraId="0C8104B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14:paraId="071C926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十二、其他需说明的事项</w:t>
      </w:r>
    </w:p>
    <w:p w14:paraId="4074BAF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14:paraId="35BDB0CB">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14:paraId="2F2F73B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14:paraId="09075C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14:paraId="1551A43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14:paraId="602EBD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14:paraId="7CCE8969">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14:paraId="0F45741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14:paraId="7AFC390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14:paraId="76C3901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14:paraId="307A4C9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14:paraId="784583FA">
      <w:pPr>
        <w:pStyle w:val="7"/>
        <w:keepNext w:val="0"/>
        <w:keepLines w:val="0"/>
        <w:pageBreakBefore w:val="0"/>
        <w:widowControl w:val="0"/>
        <w:tabs>
          <w:tab w:val="righ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fldChar w:fldCharType="end"/>
      </w:r>
    </w:p>
    <w:p w14:paraId="00257CE9">
      <w:r>
        <w:br w:type="page"/>
      </w:r>
    </w:p>
    <w:p w14:paraId="63DD98BB">
      <w:pPr>
        <w:spacing w:line="640" w:lineRule="exact"/>
        <w:jc w:val="center"/>
        <w:outlineLvl w:val="1"/>
      </w:pPr>
      <w:r>
        <w:rPr>
          <w:rFonts w:ascii="黑体" w:hAnsi="黑体" w:eastAsia="黑体"/>
          <w:sz w:val="32"/>
        </w:rPr>
        <w:t>第一部分 单位概况</w:t>
      </w:r>
    </w:p>
    <w:p w14:paraId="027B7E0B">
      <w:pPr>
        <w:spacing w:line="640" w:lineRule="exact"/>
        <w:ind w:firstLine="640"/>
        <w:jc w:val="both"/>
        <w:outlineLvl w:val="2"/>
      </w:pPr>
      <w:r>
        <w:rPr>
          <w:rFonts w:ascii="黑体" w:hAnsi="黑体" w:eastAsia="黑体"/>
          <w:sz w:val="32"/>
        </w:rPr>
        <w:t>一、主要职能</w:t>
      </w:r>
    </w:p>
    <w:p w14:paraId="07B4784C">
      <w:pPr>
        <w:spacing w:line="580" w:lineRule="exact"/>
        <w:ind w:firstLine="640"/>
        <w:jc w:val="both"/>
      </w:pPr>
      <w:r>
        <w:rPr>
          <w:rFonts w:ascii="仿宋_GB2312" w:hAnsi="仿宋_GB2312" w:eastAsia="仿宋_GB2312"/>
          <w:sz w:val="32"/>
        </w:rPr>
        <w:t>负责自治州法学会的日常工作，做好召开会员代表大会、理事会、常务理事会、会长办公会议的会务工作；参与指导法学会各学科研究会的换届选举工作；制定并组织实施法学会年度工作计划，组织、推动各种形式的法学研究和学术交流活动；协调法学会各专业研究会开展活动；组织会员参与自治州立法总体规划的研究和单行条例及各类规范性文件的起草、修改、咨询、论证工作；组织法学工作者、法律工作者开展调查研究，加强信息交流和传播。制定并组织实施对外法学交流计划，组织开展同国内省市区间的法学学术交流与合作。组织评选自治州优秀法学人才和优秀法学成果活动。负责会员的发展、管理、联系和服务工作；指导、协调团体会员工作；反映会员和法学界、法律界的意见与要求，维护会员的合法权益。组织会员向社会提供法律服务，开展法治宣传和法律培训，主办法制、法学刊物，编辑法学资料及完成上级交办的其他工作任务。</w:t>
      </w:r>
    </w:p>
    <w:p w14:paraId="59242C34">
      <w:pPr>
        <w:spacing w:line="640" w:lineRule="exact"/>
        <w:ind w:firstLine="640"/>
        <w:jc w:val="both"/>
        <w:outlineLvl w:val="2"/>
      </w:pPr>
      <w:r>
        <w:rPr>
          <w:rFonts w:ascii="黑体" w:hAnsi="黑体" w:eastAsia="黑体"/>
          <w:sz w:val="32"/>
        </w:rPr>
        <w:t>二、机构设置及人员情况</w:t>
      </w:r>
    </w:p>
    <w:p w14:paraId="231F834E">
      <w:pPr>
        <w:spacing w:line="580" w:lineRule="exact"/>
        <w:ind w:firstLine="640"/>
        <w:jc w:val="both"/>
      </w:pPr>
      <w:r>
        <w:rPr>
          <w:rFonts w:ascii="仿宋_GB2312" w:hAnsi="仿宋_GB2312" w:eastAsia="仿宋_GB2312"/>
          <w:sz w:val="32"/>
        </w:rPr>
        <w:t>昌吉回族自治州法学会2024年度，实有人数2人，其中：在职人员2人，增加1人；离休人员0人，增加0人；退休人员0人,增加0人。</w:t>
      </w:r>
    </w:p>
    <w:p w14:paraId="0BCFA101">
      <w:pPr>
        <w:spacing w:line="580" w:lineRule="exact"/>
        <w:ind w:firstLine="640"/>
        <w:jc w:val="both"/>
      </w:pPr>
      <w:r>
        <w:rPr>
          <w:rFonts w:ascii="仿宋_GB2312" w:hAnsi="仿宋_GB2312" w:eastAsia="仿宋_GB2312"/>
          <w:sz w:val="32"/>
        </w:rPr>
        <w:t>昌吉回族自治州法学会无下属预算单位，下设1个科室，分别是：综合科。</w:t>
      </w:r>
    </w:p>
    <w:p w14:paraId="09ABC3D8">
      <w:r>
        <w:br w:type="page"/>
      </w:r>
    </w:p>
    <w:p w14:paraId="3E45E99B">
      <w:pPr>
        <w:spacing w:line="240" w:lineRule="auto"/>
        <w:jc w:val="center"/>
        <w:outlineLvl w:val="1"/>
      </w:pPr>
      <w:r>
        <w:rPr>
          <w:rFonts w:ascii="黑体" w:hAnsi="黑体" w:eastAsia="黑体"/>
          <w:sz w:val="32"/>
        </w:rPr>
        <w:t>第二部分 部门决算情况说明</w:t>
      </w:r>
    </w:p>
    <w:p w14:paraId="0B272AA6">
      <w:pPr>
        <w:spacing w:line="640" w:lineRule="exact"/>
        <w:ind w:firstLine="640"/>
        <w:jc w:val="both"/>
        <w:outlineLvl w:val="2"/>
      </w:pPr>
      <w:r>
        <w:rPr>
          <w:rFonts w:ascii="黑体" w:hAnsi="黑体" w:eastAsia="黑体"/>
          <w:sz w:val="32"/>
        </w:rPr>
        <w:t>一、收入支出决算总体情况说明</w:t>
      </w:r>
    </w:p>
    <w:p w14:paraId="1C98A63B">
      <w:pPr>
        <w:spacing w:line="580" w:lineRule="exact"/>
        <w:ind w:firstLine="640"/>
        <w:jc w:val="both"/>
      </w:pPr>
      <w:r>
        <w:rPr>
          <w:rFonts w:ascii="仿宋_GB2312" w:hAnsi="仿宋_GB2312" w:eastAsia="仿宋_GB2312"/>
          <w:b/>
          <w:sz w:val="32"/>
        </w:rPr>
        <w:t>2024年度收入总计74.03万元，</w:t>
      </w:r>
      <w:r>
        <w:rPr>
          <w:rFonts w:ascii="仿宋_GB2312" w:hAnsi="仿宋_GB2312" w:eastAsia="仿宋_GB2312"/>
          <w:b w:val="0"/>
          <w:sz w:val="32"/>
        </w:rPr>
        <w:t>其中：本年收入合计43.76万元，使用非财政拨款结余（含专用结余）0.00万元，年初结转和结余30.27万元。</w:t>
      </w:r>
    </w:p>
    <w:p w14:paraId="25FADC0E">
      <w:pPr>
        <w:spacing w:line="580" w:lineRule="exact"/>
        <w:ind w:firstLine="640"/>
        <w:jc w:val="both"/>
      </w:pPr>
      <w:r>
        <w:rPr>
          <w:rFonts w:ascii="仿宋_GB2312" w:hAnsi="仿宋_GB2312" w:eastAsia="仿宋_GB2312"/>
          <w:b/>
          <w:sz w:val="32"/>
        </w:rPr>
        <w:t>2024年度支出总计74.03万元，</w:t>
      </w:r>
      <w:r>
        <w:rPr>
          <w:rFonts w:ascii="仿宋_GB2312" w:hAnsi="仿宋_GB2312" w:eastAsia="仿宋_GB2312"/>
          <w:b w:val="0"/>
          <w:sz w:val="32"/>
        </w:rPr>
        <w:t>其中：本年支出合计57.94万元，结余分配0.00万元，年末结转和结余16.09万元。</w:t>
      </w:r>
    </w:p>
    <w:p w14:paraId="0E9CD610">
      <w:pPr>
        <w:spacing w:line="580" w:lineRule="exact"/>
        <w:ind w:firstLine="640"/>
        <w:jc w:val="both"/>
      </w:pPr>
      <w:r>
        <w:rPr>
          <w:rFonts w:ascii="仿宋_GB2312" w:hAnsi="仿宋_GB2312" w:eastAsia="仿宋_GB2312"/>
          <w:b w:val="0"/>
          <w:sz w:val="32"/>
        </w:rPr>
        <w:t>收入支出总体与上年相比，减少34.09万元，下降31.53%，主要原因是：本年减少援疆培训经费；本年法学会业务经费较上年减少。</w:t>
      </w:r>
    </w:p>
    <w:p w14:paraId="5FFE2DA9">
      <w:pPr>
        <w:spacing w:line="640" w:lineRule="exact"/>
        <w:ind w:firstLine="640"/>
        <w:jc w:val="both"/>
        <w:outlineLvl w:val="2"/>
      </w:pPr>
      <w:r>
        <w:rPr>
          <w:rFonts w:ascii="黑体" w:hAnsi="黑体" w:eastAsia="黑体"/>
          <w:sz w:val="32"/>
        </w:rPr>
        <w:t>二、收入决算情况说明</w:t>
      </w:r>
    </w:p>
    <w:p w14:paraId="08C375FF">
      <w:pPr>
        <w:spacing w:line="580" w:lineRule="exact"/>
        <w:ind w:firstLine="640"/>
        <w:jc w:val="both"/>
      </w:pPr>
      <w:r>
        <w:rPr>
          <w:rFonts w:ascii="仿宋_GB2312" w:hAnsi="仿宋_GB2312" w:eastAsia="仿宋_GB2312"/>
          <w:b/>
          <w:sz w:val="32"/>
        </w:rPr>
        <w:t>本年收入43.76万元，</w:t>
      </w:r>
      <w:r>
        <w:rPr>
          <w:rFonts w:ascii="仿宋_GB2312" w:hAnsi="仿宋_GB2312" w:eastAsia="仿宋_GB2312"/>
          <w:b w:val="0"/>
          <w:sz w:val="32"/>
        </w:rPr>
        <w:t>其中：财政拨款收入43.76万元，占100.00%；上级补助收入0.00万元，占0.00%；事业收入0.00万元，占0.00%；经营收入0.00万元，占0.00%；附属单位上缴收入0.00万元，占0.00%；其他收入0.00万元，占0.00%。</w:t>
      </w:r>
    </w:p>
    <w:p w14:paraId="6642355E">
      <w:pPr>
        <w:spacing w:line="640" w:lineRule="exact"/>
        <w:ind w:firstLine="640"/>
        <w:jc w:val="both"/>
        <w:outlineLvl w:val="2"/>
      </w:pPr>
      <w:r>
        <w:rPr>
          <w:rFonts w:ascii="黑体" w:hAnsi="黑体" w:eastAsia="黑体"/>
          <w:sz w:val="32"/>
        </w:rPr>
        <w:t>三、支出决算情况说明</w:t>
      </w:r>
    </w:p>
    <w:p w14:paraId="68192128">
      <w:pPr>
        <w:spacing w:line="580" w:lineRule="exact"/>
        <w:ind w:firstLine="640"/>
        <w:jc w:val="both"/>
      </w:pPr>
      <w:r>
        <w:rPr>
          <w:rFonts w:ascii="仿宋_GB2312" w:hAnsi="仿宋_GB2312" w:eastAsia="仿宋_GB2312"/>
          <w:b/>
          <w:sz w:val="32"/>
        </w:rPr>
        <w:t>本年支出57.94万元，</w:t>
      </w:r>
      <w:r>
        <w:rPr>
          <w:rFonts w:ascii="仿宋_GB2312" w:hAnsi="仿宋_GB2312" w:eastAsia="仿宋_GB2312"/>
          <w:b w:val="0"/>
          <w:sz w:val="32"/>
        </w:rPr>
        <w:t>其中：基本支出30.72万元，占53.02%；项目支出27.22万元，占46.98%；上缴上级支出0.00万元，占0.00%；经营支出0.00万元，占0.00%；对附属单位补助支出0.00万元，占0.00%。</w:t>
      </w:r>
    </w:p>
    <w:p w14:paraId="566FA277">
      <w:pPr>
        <w:spacing w:line="640" w:lineRule="exact"/>
        <w:ind w:firstLine="640"/>
        <w:jc w:val="both"/>
        <w:outlineLvl w:val="2"/>
      </w:pPr>
      <w:r>
        <w:rPr>
          <w:rFonts w:ascii="黑体" w:hAnsi="黑体" w:eastAsia="黑体"/>
          <w:sz w:val="32"/>
        </w:rPr>
        <w:t>四、财政拨款收入支出决算总体情况说明</w:t>
      </w:r>
    </w:p>
    <w:p w14:paraId="6E140F26">
      <w:pPr>
        <w:spacing w:line="580" w:lineRule="exact"/>
        <w:ind w:firstLine="640"/>
        <w:jc w:val="both"/>
      </w:pPr>
      <w:r>
        <w:rPr>
          <w:rFonts w:ascii="仿宋_GB2312" w:hAnsi="仿宋_GB2312" w:eastAsia="仿宋_GB2312"/>
          <w:b/>
          <w:sz w:val="32"/>
        </w:rPr>
        <w:t>2024年度财政拨款收入总计43.76万元，</w:t>
      </w:r>
      <w:r>
        <w:rPr>
          <w:rFonts w:ascii="仿宋_GB2312" w:hAnsi="仿宋_GB2312" w:eastAsia="仿宋_GB2312"/>
          <w:b w:val="0"/>
          <w:sz w:val="32"/>
        </w:rPr>
        <w:t>其中：年初财政拨款结转和结余0.00万元，本年财政拨款收入43.76万元。</w:t>
      </w:r>
      <w:r>
        <w:rPr>
          <w:rFonts w:ascii="仿宋_GB2312" w:hAnsi="仿宋_GB2312" w:eastAsia="仿宋_GB2312"/>
          <w:b/>
          <w:sz w:val="32"/>
        </w:rPr>
        <w:t>财政拨款支出总计43.76万元，</w:t>
      </w:r>
      <w:r>
        <w:rPr>
          <w:rFonts w:ascii="仿宋_GB2312" w:hAnsi="仿宋_GB2312" w:eastAsia="仿宋_GB2312"/>
          <w:b w:val="0"/>
          <w:sz w:val="32"/>
        </w:rPr>
        <w:t>其中：年末财政拨款结转和结余0.00万元，本年财政拨款支出43.76万元。</w:t>
      </w:r>
    </w:p>
    <w:p w14:paraId="1449D26B">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减少7.15万元，下降14.04%，主要原因是：本年法学会业务经费较上年减少。</w:t>
      </w:r>
      <w:r>
        <w:rPr>
          <w:rFonts w:ascii="仿宋_GB2312" w:hAnsi="仿宋_GB2312" w:eastAsia="仿宋_GB2312"/>
          <w:b/>
          <w:sz w:val="32"/>
        </w:rPr>
        <w:t>与年初预算相比，</w:t>
      </w:r>
      <w:r>
        <w:rPr>
          <w:rFonts w:ascii="仿宋_GB2312" w:hAnsi="仿宋_GB2312" w:eastAsia="仿宋_GB2312"/>
          <w:b w:val="0"/>
          <w:sz w:val="32"/>
        </w:rPr>
        <w:t>年初预算数35.47万元，决算数43.76万元，预决算差异率23.37%，主要原因是：本年在职人员增加，年中追加人员经费及人员工资、社保、公积金基数调增部分资金，导致预决算存在差异。</w:t>
      </w:r>
    </w:p>
    <w:p w14:paraId="7DCE5CEE">
      <w:pPr>
        <w:spacing w:line="640" w:lineRule="exact"/>
        <w:ind w:firstLine="640"/>
        <w:jc w:val="both"/>
        <w:outlineLvl w:val="2"/>
      </w:pPr>
      <w:r>
        <w:rPr>
          <w:rFonts w:ascii="黑体" w:hAnsi="黑体" w:eastAsia="黑体"/>
          <w:sz w:val="32"/>
        </w:rPr>
        <w:t>五、一般公共预算财政拨款支出决算情况说明</w:t>
      </w:r>
    </w:p>
    <w:p w14:paraId="690179B1">
      <w:pPr>
        <w:spacing w:line="640" w:lineRule="exact"/>
        <w:ind w:firstLine="640"/>
        <w:jc w:val="both"/>
        <w:outlineLvl w:val="3"/>
      </w:pPr>
      <w:r>
        <w:rPr>
          <w:rFonts w:ascii="楷体_GB2312" w:hAnsi="楷体_GB2312" w:eastAsia="楷体_GB2312"/>
          <w:b/>
          <w:sz w:val="32"/>
        </w:rPr>
        <w:t>（一）一般公共预算财政拨款支出决算总体情况</w:t>
      </w:r>
    </w:p>
    <w:p w14:paraId="5A672603">
      <w:pPr>
        <w:spacing w:line="580" w:lineRule="exact"/>
        <w:ind w:firstLine="640"/>
        <w:jc w:val="both"/>
      </w:pPr>
      <w:r>
        <w:rPr>
          <w:rFonts w:ascii="仿宋_GB2312" w:hAnsi="仿宋_GB2312" w:eastAsia="仿宋_GB2312"/>
          <w:b/>
          <w:sz w:val="32"/>
        </w:rPr>
        <w:t>2024年度一般公共预算财政拨款支出43.76万元，</w:t>
      </w:r>
      <w:r>
        <w:rPr>
          <w:rFonts w:ascii="仿宋_GB2312" w:hAnsi="仿宋_GB2312" w:eastAsia="仿宋_GB2312"/>
          <w:b w:val="0"/>
          <w:sz w:val="32"/>
        </w:rPr>
        <w:t>占本年支出合计的75.53%。</w:t>
      </w:r>
      <w:r>
        <w:rPr>
          <w:rFonts w:ascii="仿宋_GB2312" w:hAnsi="仿宋_GB2312" w:eastAsia="仿宋_GB2312"/>
          <w:b/>
          <w:sz w:val="32"/>
        </w:rPr>
        <w:t>与上年相比，</w:t>
      </w:r>
      <w:r>
        <w:rPr>
          <w:rFonts w:ascii="仿宋_GB2312" w:hAnsi="仿宋_GB2312" w:eastAsia="仿宋_GB2312"/>
          <w:b w:val="0"/>
          <w:sz w:val="32"/>
        </w:rPr>
        <w:t>减少7.15万元，下降14.04%，主要原因是：本年法学会业务经费较上年减少。</w:t>
      </w:r>
      <w:r>
        <w:rPr>
          <w:rFonts w:ascii="仿宋_GB2312" w:hAnsi="仿宋_GB2312" w:eastAsia="仿宋_GB2312"/>
          <w:b/>
          <w:sz w:val="32"/>
        </w:rPr>
        <w:t>与年初预算相比,</w:t>
      </w:r>
      <w:r>
        <w:rPr>
          <w:rFonts w:ascii="仿宋_GB2312" w:hAnsi="仿宋_GB2312" w:eastAsia="仿宋_GB2312"/>
          <w:b w:val="0"/>
          <w:sz w:val="32"/>
        </w:rPr>
        <w:t>年初预算数35.47万元，决算数43.76万元，预决算差异率23.37%，主要原因是：本年在职人员增加，年中追加人员经费及人员工资、社保、公积金基数调增部分资金，导致预决算存在差异。</w:t>
      </w:r>
    </w:p>
    <w:p w14:paraId="77999997">
      <w:pPr>
        <w:spacing w:line="640" w:lineRule="exact"/>
        <w:ind w:firstLine="640"/>
        <w:jc w:val="both"/>
        <w:outlineLvl w:val="3"/>
      </w:pPr>
      <w:r>
        <w:rPr>
          <w:rFonts w:ascii="楷体_GB2312" w:hAnsi="楷体_GB2312" w:eastAsia="楷体_GB2312"/>
          <w:b/>
          <w:sz w:val="32"/>
        </w:rPr>
        <w:t>（二）一般公共预算财政拨款支出决算结构情况</w:t>
      </w:r>
    </w:p>
    <w:p w14:paraId="2AB8EFEC">
      <w:pPr>
        <w:spacing w:line="580" w:lineRule="exact"/>
        <w:ind w:firstLine="640"/>
        <w:jc w:val="both"/>
      </w:pPr>
      <w:r>
        <w:rPr>
          <w:rFonts w:ascii="仿宋_GB2312" w:hAnsi="仿宋_GB2312" w:eastAsia="仿宋_GB2312"/>
          <w:b w:val="0"/>
          <w:sz w:val="32"/>
        </w:rPr>
        <w:t>1.一般公共服务支出(类)38.84万元,占88.76%。</w:t>
      </w:r>
    </w:p>
    <w:p w14:paraId="1BCE515A">
      <w:pPr>
        <w:spacing w:line="580" w:lineRule="exact"/>
        <w:ind w:firstLine="640"/>
        <w:jc w:val="both"/>
      </w:pPr>
      <w:r>
        <w:rPr>
          <w:rFonts w:ascii="仿宋_GB2312" w:hAnsi="仿宋_GB2312" w:eastAsia="仿宋_GB2312"/>
          <w:b w:val="0"/>
          <w:sz w:val="32"/>
        </w:rPr>
        <w:t>2.社会保障和就业支出(类)2.43万元,占5.55%。</w:t>
      </w:r>
    </w:p>
    <w:p w14:paraId="760E2A1E">
      <w:pPr>
        <w:spacing w:line="580" w:lineRule="exact"/>
        <w:ind w:firstLine="640"/>
        <w:jc w:val="both"/>
      </w:pPr>
      <w:r>
        <w:rPr>
          <w:rFonts w:ascii="仿宋_GB2312" w:hAnsi="仿宋_GB2312" w:eastAsia="仿宋_GB2312"/>
          <w:b w:val="0"/>
          <w:sz w:val="32"/>
        </w:rPr>
        <w:t>3.卫生健康支出(类)1.20万元,占2.74%。</w:t>
      </w:r>
    </w:p>
    <w:p w14:paraId="1E577176">
      <w:pPr>
        <w:spacing w:line="580" w:lineRule="exact"/>
        <w:ind w:firstLine="640"/>
        <w:jc w:val="both"/>
      </w:pPr>
      <w:r>
        <w:rPr>
          <w:rFonts w:ascii="仿宋_GB2312" w:hAnsi="仿宋_GB2312" w:eastAsia="仿宋_GB2312"/>
          <w:b w:val="0"/>
          <w:sz w:val="32"/>
        </w:rPr>
        <w:t>4.住房保障支出(类)1.28万元,占2.93%。</w:t>
      </w:r>
    </w:p>
    <w:p w14:paraId="5842B1A0">
      <w:pPr>
        <w:spacing w:line="640" w:lineRule="exact"/>
        <w:ind w:firstLine="640"/>
        <w:jc w:val="both"/>
        <w:outlineLvl w:val="3"/>
      </w:pPr>
      <w:r>
        <w:rPr>
          <w:rFonts w:ascii="楷体_GB2312" w:hAnsi="楷体_GB2312" w:eastAsia="楷体_GB2312"/>
          <w:b/>
          <w:sz w:val="32"/>
        </w:rPr>
        <w:t>（三）一般公共预算财政拨款支出决算具体情况</w:t>
      </w:r>
    </w:p>
    <w:p w14:paraId="0A458FF4">
      <w:pPr>
        <w:spacing w:line="580" w:lineRule="exact"/>
        <w:ind w:firstLine="640"/>
        <w:jc w:val="both"/>
      </w:pPr>
      <w:r>
        <w:rPr>
          <w:rFonts w:ascii="仿宋_GB2312" w:hAnsi="仿宋_GB2312" w:eastAsia="仿宋_GB2312"/>
          <w:b w:val="0"/>
          <w:sz w:val="32"/>
        </w:rPr>
        <w:t>1.一般公共服务支出(类)其他共产党事务支出(款)一般行政管理事务(项):支出决算数为13.04万元，比上年决算减少4.39万元，下降25.19%,主要原因是：本年法学会业务经费较上年减少。</w:t>
      </w:r>
    </w:p>
    <w:p w14:paraId="0AB6321B">
      <w:pPr>
        <w:spacing w:line="580" w:lineRule="exact"/>
        <w:ind w:firstLine="640"/>
        <w:jc w:val="both"/>
      </w:pPr>
      <w:r>
        <w:rPr>
          <w:rFonts w:ascii="仿宋_GB2312" w:hAnsi="仿宋_GB2312" w:eastAsia="仿宋_GB2312"/>
          <w:b w:val="0"/>
          <w:sz w:val="32"/>
        </w:rPr>
        <w:t>2.一般公共服务支出(类)其他共产党事务支出(款)事业运行(项):支出决算数为25.80万元，比上年决算增加0.22万元，增长0.86%,主要原因是：本年在职人员工资调增，导致相关人员经费较上年有所增加；本年功能科目调整，其他行政事业单位医疗支出上年度单独列支，本年调整至主科目列支，导致经费较上年增加。</w:t>
      </w:r>
    </w:p>
    <w:p w14:paraId="5FDCAA7C">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1.76万元，比上年决算减少1.07万元，下降37.81%,主要原因是：本年在职人员调入调出，人员职级不同，缴费基数不同，导致养老保险缴费较上年减少。</w:t>
      </w:r>
    </w:p>
    <w:p w14:paraId="36F5F101">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0.67万元，比上年决算减少0.74万元，下降52.48%,主要原因是：本年新增调出人员较上年减少，职业年金缴费较上年减少。</w:t>
      </w:r>
    </w:p>
    <w:p w14:paraId="1CD526B8">
      <w:pPr>
        <w:spacing w:line="580" w:lineRule="exact"/>
        <w:ind w:firstLine="640"/>
        <w:jc w:val="both"/>
      </w:pPr>
      <w:r>
        <w:rPr>
          <w:rFonts w:ascii="仿宋_GB2312" w:hAnsi="仿宋_GB2312" w:eastAsia="仿宋_GB2312"/>
          <w:b w:val="0"/>
          <w:sz w:val="32"/>
        </w:rPr>
        <w:t>5.卫生健康支出(类)行政事业单位医疗(款)行政单位医疗(项):支出决算数为0.03万元，比上年决算增加0.03万元，增长100.00%,主要原因是：本年功能科目调整，行政单位医疗上年度在主科目列支，本年单独列支，导致经费较上年增加。</w:t>
      </w:r>
    </w:p>
    <w:p w14:paraId="0D8D6305">
      <w:pPr>
        <w:spacing w:line="580" w:lineRule="exact"/>
        <w:ind w:firstLine="640"/>
        <w:jc w:val="both"/>
      </w:pPr>
      <w:r>
        <w:rPr>
          <w:rFonts w:ascii="仿宋_GB2312" w:hAnsi="仿宋_GB2312" w:eastAsia="仿宋_GB2312"/>
          <w:b w:val="0"/>
          <w:sz w:val="32"/>
        </w:rPr>
        <w:t>6.卫生健康支出(类)行政事业单位医疗(款)事业单位医疗(项):支出决算数为1.13万元，比上年决算减少0.29万元，下降20.42%,主要原因是：本年在职人员调入调出，人员职级不同，缴费基数不同，导致事业单位医疗较上年减少。</w:t>
      </w:r>
    </w:p>
    <w:p w14:paraId="30962B95">
      <w:pPr>
        <w:spacing w:line="580" w:lineRule="exact"/>
        <w:ind w:firstLine="640"/>
        <w:jc w:val="both"/>
      </w:pPr>
      <w:r>
        <w:rPr>
          <w:rFonts w:ascii="仿宋_GB2312" w:hAnsi="仿宋_GB2312" w:eastAsia="仿宋_GB2312"/>
          <w:b w:val="0"/>
          <w:sz w:val="32"/>
        </w:rPr>
        <w:t>7.卫生健康支出(类)行政事业单位医疗(款)公务员医疗补助(项):支出决算数为0.05万元，比上年决算减少0.04万元，下降44.44%,主要原因是：本年在职人员调入调出，人员职级不同，缴费基数不同，导致公务员医疗补助较上年减少。</w:t>
      </w:r>
    </w:p>
    <w:p w14:paraId="3DDAFB1B">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0.00万元，比上年决算减少0.01万元，下降100.00%,主要原因是：本年功能科目调整，其他行政事业单位医疗支出上年度单独列支，本年调整至主科目列支，导致经费较上年减少。</w:t>
      </w:r>
    </w:p>
    <w:p w14:paraId="368922D7">
      <w:pPr>
        <w:spacing w:line="580" w:lineRule="exact"/>
        <w:ind w:firstLine="640"/>
        <w:jc w:val="both"/>
      </w:pPr>
      <w:r>
        <w:rPr>
          <w:rFonts w:ascii="仿宋_GB2312" w:hAnsi="仿宋_GB2312" w:eastAsia="仿宋_GB2312"/>
          <w:b w:val="0"/>
          <w:sz w:val="32"/>
        </w:rPr>
        <w:t>9.住房保障支出(类)住房改革支出(款)住房公积金(项):支出决算数为1.28万元，比上年决算减少0.86万元，下降40.19%,主要原因是：本年在职人员调入调出，人员职级不同，缴费基数不同，导致住房公积金较上年减少。</w:t>
      </w:r>
    </w:p>
    <w:p w14:paraId="221E95F6">
      <w:pPr>
        <w:spacing w:line="640" w:lineRule="exact"/>
        <w:ind w:firstLine="640"/>
        <w:jc w:val="both"/>
        <w:outlineLvl w:val="2"/>
      </w:pPr>
      <w:r>
        <w:rPr>
          <w:rFonts w:ascii="黑体" w:hAnsi="黑体" w:eastAsia="黑体"/>
          <w:sz w:val="32"/>
        </w:rPr>
        <w:t>六、一般公共预算财政拨款基本支出决算情况说明</w:t>
      </w:r>
    </w:p>
    <w:p w14:paraId="7F8DEA0C">
      <w:pPr>
        <w:spacing w:line="580" w:lineRule="exact"/>
        <w:ind w:firstLine="640"/>
        <w:jc w:val="both"/>
      </w:pPr>
      <w:r>
        <w:rPr>
          <w:rFonts w:ascii="仿宋_GB2312" w:hAnsi="仿宋_GB2312" w:eastAsia="仿宋_GB2312"/>
          <w:b w:val="0"/>
          <w:sz w:val="32"/>
        </w:rPr>
        <w:t>2024年度一般公共预算财政拨款基本支出30.72万元，其中：</w:t>
      </w:r>
      <w:r>
        <w:rPr>
          <w:rFonts w:ascii="仿宋_GB2312" w:hAnsi="仿宋_GB2312" w:eastAsia="仿宋_GB2312"/>
          <w:b/>
          <w:sz w:val="32"/>
        </w:rPr>
        <w:t>人员经费27.90万元，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w:t>
      </w:r>
    </w:p>
    <w:p w14:paraId="2AF48700">
      <w:pPr>
        <w:spacing w:line="580" w:lineRule="exact"/>
        <w:ind w:firstLine="640"/>
        <w:jc w:val="both"/>
      </w:pPr>
      <w:r>
        <w:rPr>
          <w:rFonts w:ascii="仿宋_GB2312" w:hAnsi="仿宋_GB2312" w:eastAsia="仿宋_GB2312"/>
          <w:b/>
          <w:sz w:val="32"/>
        </w:rPr>
        <w:t>公用经费2.82万元，</w:t>
      </w:r>
      <w:r>
        <w:rPr>
          <w:rFonts w:ascii="仿宋_GB2312" w:hAnsi="仿宋_GB2312" w:eastAsia="仿宋_GB2312"/>
          <w:b w:val="0"/>
          <w:sz w:val="32"/>
        </w:rPr>
        <w:t>包括：办公费、手续费、差旅费、工会经费、福利费、公务用车运行维护费。</w:t>
      </w:r>
    </w:p>
    <w:p w14:paraId="725B62C3">
      <w:pPr>
        <w:spacing w:line="640" w:lineRule="exact"/>
        <w:ind w:firstLine="640"/>
        <w:jc w:val="both"/>
        <w:outlineLvl w:val="2"/>
      </w:pPr>
      <w:r>
        <w:rPr>
          <w:rFonts w:ascii="黑体" w:hAnsi="黑体" w:eastAsia="黑体"/>
          <w:sz w:val="32"/>
        </w:rPr>
        <w:t>七、政府性基金预算财政拨款收入支出决算情况说明</w:t>
      </w:r>
    </w:p>
    <w:p w14:paraId="01D037A5">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1F58140">
      <w:pPr>
        <w:spacing w:line="640" w:lineRule="exact"/>
        <w:ind w:firstLine="640"/>
        <w:jc w:val="both"/>
        <w:outlineLvl w:val="2"/>
      </w:pPr>
      <w:r>
        <w:rPr>
          <w:rFonts w:ascii="黑体" w:hAnsi="黑体" w:eastAsia="黑体"/>
          <w:sz w:val="32"/>
        </w:rPr>
        <w:t>八、国有资本经营预算财政拨款收入支出决算情况说明</w:t>
      </w:r>
    </w:p>
    <w:p w14:paraId="7A6B4586">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79DA548B">
      <w:pPr>
        <w:spacing w:line="640" w:lineRule="exact"/>
        <w:ind w:firstLine="640"/>
        <w:jc w:val="both"/>
        <w:outlineLvl w:val="2"/>
      </w:pPr>
      <w:r>
        <w:rPr>
          <w:rFonts w:ascii="黑体" w:hAnsi="黑体" w:eastAsia="黑体"/>
          <w:sz w:val="32"/>
        </w:rPr>
        <w:t>九、财政拨款“三公”经费支出决算情况说明</w:t>
      </w:r>
    </w:p>
    <w:p w14:paraId="1F5AB442">
      <w:pPr>
        <w:spacing w:line="580" w:lineRule="exact"/>
        <w:ind w:firstLine="640"/>
        <w:jc w:val="both"/>
      </w:pPr>
      <w:r>
        <w:rPr>
          <w:rFonts w:ascii="仿宋_GB2312" w:hAnsi="仿宋_GB2312" w:eastAsia="仿宋_GB2312"/>
          <w:b/>
          <w:sz w:val="32"/>
        </w:rPr>
        <w:t>2024年度财政拨款“三公”经费支出2.16万元，</w:t>
      </w:r>
      <w:r>
        <w:rPr>
          <w:rFonts w:ascii="仿宋_GB2312" w:hAnsi="仿宋_GB2312" w:eastAsia="仿宋_GB2312"/>
          <w:b w:val="0"/>
          <w:sz w:val="32"/>
        </w:rPr>
        <w:t>比上年增加0.00万元，增长0.00%，主要原因是：</w:t>
      </w:r>
      <w:r>
        <w:rPr>
          <w:rFonts w:hint="eastAsia" w:ascii="仿宋_GB2312" w:hAnsi="仿宋_GB2312" w:eastAsia="仿宋_GB2312"/>
          <w:b w:val="0"/>
          <w:sz w:val="32"/>
          <w:lang w:eastAsia="zh-CN"/>
        </w:rPr>
        <w:t>本单位</w:t>
      </w:r>
      <w:r>
        <w:rPr>
          <w:rFonts w:ascii="仿宋_GB2312" w:hAnsi="仿宋_GB2312" w:eastAsia="仿宋_GB2312"/>
          <w:b w:val="0"/>
          <w:sz w:val="32"/>
        </w:rPr>
        <w:t>“三公”经费与上年一致无变化。其中：因公出国（境）费支出0.00万元，占0.00%，比上年增加0.00万元，增长0.00%，主要原因是：2023年与2024年均未安排因公出国（境）费支出。公务用车购置及运行维护费支出2.16万元，占100.00%，比上年增加0.00万元，增长0.00%，主要原因是：</w:t>
      </w:r>
      <w:r>
        <w:rPr>
          <w:rFonts w:hint="eastAsia" w:ascii="仿宋_GB2312" w:hAnsi="仿宋_GB2312" w:eastAsia="仿宋_GB2312"/>
          <w:b w:val="0"/>
          <w:sz w:val="32"/>
          <w:lang w:eastAsia="zh-CN"/>
        </w:rPr>
        <w:t>本单位</w:t>
      </w:r>
      <w:r>
        <w:rPr>
          <w:rFonts w:ascii="仿宋_GB2312" w:hAnsi="仿宋_GB2312" w:eastAsia="仿宋_GB2312"/>
          <w:b w:val="0"/>
          <w:sz w:val="32"/>
        </w:rPr>
        <w:t>公务用车运行维护费与上年一致无变化。公务接待费支出0.00万元，占0.00%，比上年增加0.00万元，增长0.00%，主要原因是：2023年与2024年均未安排公务接待费支出。</w:t>
      </w:r>
    </w:p>
    <w:p w14:paraId="0A879969">
      <w:pPr>
        <w:spacing w:line="580" w:lineRule="exact"/>
        <w:ind w:firstLine="640"/>
        <w:jc w:val="both"/>
      </w:pPr>
      <w:r>
        <w:rPr>
          <w:rFonts w:ascii="仿宋_GB2312" w:hAnsi="仿宋_GB2312" w:eastAsia="仿宋_GB2312"/>
          <w:b/>
          <w:sz w:val="32"/>
        </w:rPr>
        <w:t>具体情况如下：</w:t>
      </w:r>
    </w:p>
    <w:p w14:paraId="080EB42A">
      <w:pPr>
        <w:spacing w:line="580" w:lineRule="exact"/>
        <w:ind w:firstLine="640"/>
        <w:jc w:val="both"/>
      </w:pPr>
      <w:r>
        <w:rPr>
          <w:rFonts w:ascii="仿宋_GB2312" w:hAnsi="仿宋_GB2312" w:eastAsia="仿宋_GB2312"/>
          <w:b w:val="0"/>
          <w:sz w:val="32"/>
        </w:rPr>
        <w:t>因公出国（境）费支出0.00万元，开支内容包括本单位无因公出国（境）费。单位全年安排的因公出国（境）团组0个，因公出国（境）0人次。</w:t>
      </w:r>
    </w:p>
    <w:p w14:paraId="142CAF66">
      <w:pPr>
        <w:spacing w:line="580" w:lineRule="exact"/>
        <w:ind w:firstLine="640"/>
        <w:jc w:val="both"/>
      </w:pPr>
      <w:r>
        <w:rPr>
          <w:rFonts w:ascii="仿宋_GB2312" w:hAnsi="仿宋_GB2312" w:eastAsia="仿宋_GB2312"/>
          <w:b w:val="0"/>
          <w:sz w:val="32"/>
        </w:rPr>
        <w:t>公务用车购置及运行维护费2.16万元，其中：公务用车购置费0.00万元，公务用车运行维护费2.16万元。公务用车运行维护费开支内容包括车辆加油费、维修费、保险费、审车费、过路费等。公务用车购置数0辆，公务用车保有量1辆。国有资产占用情况中固定资产车辆1辆，与公务用车保有量差异原因是：本单位固定资产车辆与公务用车保有量一致无差异。</w:t>
      </w:r>
    </w:p>
    <w:p w14:paraId="7ED68C09">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2D3707A6">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2.16万元，决算数2.16万元，预决算差异率0.00%，主要原因是：严格按照预算执行，预决算无差异。其中：因公出国（境）费全年预算数0.00万元，决算数0.00万元，预决算差异率0.00%，主要原因是：本单位无因公出国（境）费。公务用车购置费全年预算数0.00万元，决算数0.00万元，预决算差异率0.00%，主要原因是：本单位无公务用车购置费。公务用车运行维护费全年预算数2.16万元，决算数2.16万元，预决算差异率0.00%，主要原因是：严格按照预算执行，预决算无差异。公务接待费全年预算数0.00万元，决算数0.00万元，预决算差异率0.00%，主要原因是：本单位无公务接待费。</w:t>
      </w:r>
    </w:p>
    <w:p w14:paraId="29932812">
      <w:pPr>
        <w:spacing w:line="640" w:lineRule="exact"/>
        <w:ind w:firstLine="640"/>
        <w:jc w:val="both"/>
        <w:outlineLvl w:val="2"/>
      </w:pPr>
      <w:r>
        <w:rPr>
          <w:rFonts w:ascii="黑体" w:hAnsi="黑体" w:eastAsia="黑体"/>
          <w:sz w:val="32"/>
        </w:rPr>
        <w:t>十、其他重要事项的情况说明</w:t>
      </w:r>
    </w:p>
    <w:p w14:paraId="7E5B13B9">
      <w:pPr>
        <w:spacing w:line="640" w:lineRule="exact"/>
        <w:ind w:firstLine="640"/>
        <w:jc w:val="both"/>
        <w:outlineLvl w:val="3"/>
      </w:pPr>
      <w:r>
        <w:rPr>
          <w:rFonts w:ascii="楷体_GB2312" w:hAnsi="楷体_GB2312" w:eastAsia="楷体_GB2312"/>
          <w:b/>
          <w:sz w:val="32"/>
        </w:rPr>
        <w:t>（一）机关运行经费及公用经费支出情况</w:t>
      </w:r>
    </w:p>
    <w:p w14:paraId="4C75339A">
      <w:pPr>
        <w:spacing w:line="580" w:lineRule="exact"/>
        <w:ind w:firstLine="640"/>
        <w:jc w:val="both"/>
      </w:pPr>
      <w:r>
        <w:rPr>
          <w:rFonts w:ascii="仿宋_GB2312" w:hAnsi="仿宋_GB2312" w:eastAsia="仿宋_GB2312"/>
          <w:b w:val="0"/>
          <w:sz w:val="32"/>
        </w:rPr>
        <w:t>2024年度昌吉回族自治州法学会（事业单位）公用经费支出2.82万元，比上年减少1.48万元，下降34.42%，主要原因是：严格控制公用经费，合理节约办公用品，减少不必要开支。</w:t>
      </w:r>
    </w:p>
    <w:p w14:paraId="61D6DA01">
      <w:pPr>
        <w:spacing w:line="640" w:lineRule="exact"/>
        <w:ind w:firstLine="640"/>
        <w:jc w:val="both"/>
        <w:outlineLvl w:val="3"/>
      </w:pPr>
      <w:r>
        <w:rPr>
          <w:rFonts w:ascii="楷体_GB2312" w:hAnsi="楷体_GB2312" w:eastAsia="楷体_GB2312"/>
          <w:b/>
          <w:sz w:val="32"/>
        </w:rPr>
        <w:t>（二）政府采购情况</w:t>
      </w:r>
    </w:p>
    <w:p w14:paraId="6F6CD040">
      <w:pPr>
        <w:spacing w:line="580" w:lineRule="exact"/>
        <w:ind w:firstLine="640"/>
        <w:jc w:val="both"/>
      </w:pPr>
      <w:r>
        <w:rPr>
          <w:rFonts w:ascii="仿宋_GB2312" w:hAnsi="仿宋_GB2312" w:eastAsia="仿宋_GB2312"/>
          <w:b w:val="0"/>
          <w:sz w:val="32"/>
        </w:rPr>
        <w:t>2024年度政府采购支出总额25.50万元，其中：政府采购货物支出8.15万元、政府采购工程支出0.00万元、政府采购服务支出17.35万元。</w:t>
      </w:r>
    </w:p>
    <w:p w14:paraId="01BDE3A5">
      <w:pPr>
        <w:spacing w:line="580" w:lineRule="exact"/>
        <w:ind w:firstLine="640"/>
        <w:jc w:val="both"/>
      </w:pPr>
      <w:r>
        <w:rPr>
          <w:rFonts w:ascii="仿宋_GB2312" w:hAnsi="仿宋_GB2312" w:eastAsia="仿宋_GB2312"/>
          <w:b w:val="0"/>
          <w:sz w:val="32"/>
        </w:rPr>
        <w:t>授予中小企业合同金额25.50万元，占政府采购支出总额的100.00%，其中：授予小微企业合同金额25.50万元，占政府采购支出总额的100.00%。</w:t>
      </w:r>
    </w:p>
    <w:p w14:paraId="6ABE400A">
      <w:pPr>
        <w:spacing w:line="640" w:lineRule="exact"/>
        <w:ind w:firstLine="640"/>
        <w:jc w:val="both"/>
        <w:outlineLvl w:val="3"/>
      </w:pPr>
      <w:r>
        <w:rPr>
          <w:rFonts w:ascii="楷体_GB2312" w:hAnsi="楷体_GB2312" w:eastAsia="楷体_GB2312"/>
          <w:b/>
          <w:sz w:val="32"/>
        </w:rPr>
        <w:t>（三）国有资产占用情况说明</w:t>
      </w:r>
    </w:p>
    <w:p w14:paraId="012BED66">
      <w:pPr>
        <w:spacing w:line="580" w:lineRule="exact"/>
        <w:ind w:firstLine="640"/>
        <w:jc w:val="both"/>
      </w:pPr>
      <w:r>
        <w:rPr>
          <w:rFonts w:ascii="仿宋_GB2312" w:hAnsi="仿宋_GB2312" w:eastAsia="仿宋_GB2312"/>
          <w:b w:val="0"/>
          <w:sz w:val="32"/>
        </w:rPr>
        <w:t>截至2024年12月31日，房屋0.00平方米，价值0.00万元。车辆1辆，价值19.77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6E7E3F98">
      <w:pPr>
        <w:spacing w:line="640" w:lineRule="exact"/>
        <w:ind w:firstLine="640"/>
        <w:jc w:val="both"/>
        <w:outlineLvl w:val="2"/>
      </w:pPr>
      <w:r>
        <w:rPr>
          <w:rFonts w:ascii="黑体" w:hAnsi="黑体" w:eastAsia="黑体"/>
          <w:sz w:val="32"/>
        </w:rPr>
        <w:t>十一、预算绩效的情况说明</w:t>
      </w:r>
    </w:p>
    <w:p w14:paraId="2E87FE8D">
      <w:pPr>
        <w:spacing w:line="580" w:lineRule="exact"/>
        <w:ind w:firstLine="640"/>
        <w:jc w:val="both"/>
      </w:pPr>
      <w:r>
        <w:rPr>
          <w:rFonts w:ascii="仿宋_GB2312" w:hAnsi="仿宋_GB2312" w:eastAsia="仿宋_GB2312"/>
          <w:b w:val="0"/>
          <w:sz w:val="32"/>
        </w:rPr>
        <w:t>根据预算绩效管理要求，本单位2024年度预算绩效管理形成整体支出绩效自评表1个，全年预算总额57.94万元，实际执行总额57.94万元；预算绩效评价项目2个，全年预算数27.22万元，全年执行数27.22万元。预算绩效管理取得的成效：一是首席法律咨询专家工作不断规范、法学研究工作持续繁荣、法治宣传教育成效明显、积极助力法治昌吉建设、法学会队伍建设水平持续提升，首席法律咨询专家工作摸索出新经验。充分发挥首席法律咨询专家作用，积极参与重大矛盾纠纷调处等工作，指导玛纳斯县深入推进首席法律咨询专家工作，探索“二三四五”工作模式，今年3月，参加了中国法学会组织召开的首席法律咨询专家共建座谈会并作交流发言。玛纳斯县被中国法学会确定为首席法律咨询专家工作联系点，发挥示范作用。5月份，中国法学会副会长徐显明等各级领导来我州调研指导后，充分肯定了我州首席法律咨询专家和基层服务站点建设等工作取得的成绩。二是法学会与政法委业务工作实现新融合。将首席法律咨询专家工作与政法委执法监督等工作有机融合，把首席法律咨询专家纳入执法监督专家库，常态化参与执法司法检查等工作，实现“1+1&gt;2”的良好效果。发现的问题及原因：一是，绩效指标的明确性、可衡量性、相关性还需进一步提升。预算精细化管理还需完善，预算编制管理水平仍有进一步提升的空间。二是，业务人员绩效管理意识有待增强，未能全面深入认识理解绩效管理工作的意义。绩效管理经验不足，预算绩效管理工作有待进一步落实。下一步改进措施：1、加强对绩效的管理培训工作，设置目标时考虑目标的可实现，尽量做到目标的细化量化、明确清晰；2、完善绩效指标，提高整体绩效目标质量。提升预算精细化管理水平。加强绩效业务学习及培训，提高业务人员绩效管理意识，进一步加强预算绩效管理工作，优化项目支出绩效指标体系，完善预算绩效管理制度，有效推动</w:t>
      </w:r>
      <w:r>
        <w:rPr>
          <w:rFonts w:hint="eastAsia" w:ascii="仿宋_GB2312" w:hAnsi="仿宋_GB2312" w:eastAsia="仿宋_GB2312"/>
          <w:b w:val="0"/>
          <w:sz w:val="32"/>
          <w:lang w:eastAsia="zh-CN"/>
        </w:rPr>
        <w:t>本单位</w:t>
      </w:r>
      <w:r>
        <w:rPr>
          <w:rFonts w:ascii="仿宋_GB2312" w:hAnsi="仿宋_GB2312" w:eastAsia="仿宋_GB2312"/>
          <w:b w:val="0"/>
          <w:sz w:val="32"/>
        </w:rPr>
        <w:t>下一年度预算绩效管理工作常态化、规范化。具体附整体支出绩效自评表，项目支出绩效自评表和评价报告。</w:t>
      </w:r>
    </w:p>
    <w:p w14:paraId="383BD188">
      <w:r>
        <w:br w:type="page"/>
      </w:r>
    </w:p>
    <w:tbl>
      <w:tblPr>
        <w:tblStyle w:val="9"/>
        <w:tblW w:w="0" w:type="auto"/>
        <w:tblInd w:w="0" w:type="dxa"/>
        <w:tblLayout w:type="autofit"/>
        <w:tblCellMar>
          <w:top w:w="0" w:type="dxa"/>
          <w:left w:w="108" w:type="dxa"/>
          <w:bottom w:w="0" w:type="dxa"/>
          <w:right w:w="108" w:type="dxa"/>
        </w:tblCellMar>
      </w:tblPr>
      <w:tblGrid>
        <w:gridCol w:w="983"/>
        <w:gridCol w:w="983"/>
        <w:gridCol w:w="983"/>
        <w:gridCol w:w="983"/>
        <w:gridCol w:w="983"/>
        <w:gridCol w:w="983"/>
        <w:gridCol w:w="983"/>
        <w:gridCol w:w="983"/>
        <w:gridCol w:w="983"/>
      </w:tblGrid>
      <w:tr w14:paraId="296A8DF7">
        <w:tc>
          <w:tcPr>
            <w:tcW w:w="8847" w:type="dxa"/>
            <w:gridSpan w:val="9"/>
            <w:vAlign w:val="center"/>
          </w:tcPr>
          <w:p w14:paraId="6A84E153">
            <w:pPr>
              <w:jc w:val="center"/>
            </w:pPr>
            <w:r>
              <w:rPr>
                <w:rFonts w:ascii="宋体" w:hAnsi="宋体" w:eastAsia="宋体"/>
                <w:sz w:val="24"/>
              </w:rPr>
              <w:t>单位整体支出绩效自评表</w:t>
            </w:r>
          </w:p>
        </w:tc>
      </w:tr>
      <w:tr w14:paraId="3E4828A2">
        <w:tblPrEx>
          <w:tblCellMar>
            <w:top w:w="0" w:type="dxa"/>
            <w:left w:w="108" w:type="dxa"/>
            <w:bottom w:w="0" w:type="dxa"/>
            <w:right w:w="108" w:type="dxa"/>
          </w:tblCellMar>
        </w:tblPrEx>
        <w:tc>
          <w:tcPr>
            <w:tcW w:w="8847" w:type="dxa"/>
            <w:gridSpan w:val="9"/>
            <w:vAlign w:val="center"/>
          </w:tcPr>
          <w:p w14:paraId="7B5DD605">
            <w:pPr>
              <w:jc w:val="center"/>
            </w:pPr>
            <w:r>
              <w:rPr>
                <w:rFonts w:ascii="宋体" w:hAnsi="宋体" w:eastAsia="宋体"/>
                <w:sz w:val="24"/>
              </w:rPr>
              <w:t>（2024年度）</w:t>
            </w:r>
          </w:p>
        </w:tc>
      </w:tr>
      <w:tr w14:paraId="1CDEE1FE">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816A78">
            <w:pPr>
              <w:jc w:val="center"/>
            </w:pPr>
            <w:r>
              <w:rPr>
                <w:rFonts w:ascii="宋体" w:hAnsi="宋体" w:eastAsia="宋体"/>
                <w:sz w:val="16"/>
              </w:rPr>
              <w:t>单位名称</w:t>
            </w:r>
          </w:p>
        </w:tc>
        <w:tc>
          <w:tcPr>
            <w:tcW w:w="786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36A23BE">
            <w:pPr>
              <w:jc w:val="center"/>
            </w:pPr>
            <w:r>
              <w:rPr>
                <w:rFonts w:ascii="宋体" w:hAnsi="宋体" w:eastAsia="宋体"/>
                <w:sz w:val="16"/>
              </w:rPr>
              <w:t>昌吉回族自治州法学会</w:t>
            </w:r>
          </w:p>
        </w:tc>
      </w:tr>
      <w:tr w14:paraId="399E857F">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388788">
            <w:pPr>
              <w:jc w:val="center"/>
            </w:pPr>
            <w:r>
              <w:rPr>
                <w:rFonts w:ascii="宋体" w:hAnsi="宋体" w:eastAsia="宋体"/>
                <w:sz w:val="16"/>
              </w:rPr>
              <w:t>部门资金（万元）</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1CA500">
            <w:pPr>
              <w:jc w:val="center"/>
            </w:pPr>
            <w:r>
              <w:rPr>
                <w:rFonts w:ascii="宋体" w:hAnsi="宋体" w:eastAsia="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04A7AA">
            <w:pPr>
              <w:jc w:val="center"/>
            </w:pPr>
            <w:r>
              <w:rPr>
                <w:rFonts w:ascii="宋体" w:hAnsi="宋体" w:eastAsia="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A3008F">
            <w:pPr>
              <w:jc w:val="center"/>
            </w:pPr>
            <w:r>
              <w:rPr>
                <w:rFonts w:ascii="宋体" w:hAnsi="宋体" w:eastAsia="宋体"/>
                <w:sz w:val="16"/>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74465F">
            <w:pPr>
              <w:jc w:val="center"/>
            </w:pPr>
            <w:r>
              <w:rPr>
                <w:rFonts w:ascii="宋体" w:hAnsi="宋体" w:eastAsia="宋体"/>
                <w:sz w:val="16"/>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04E425">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5A27D7">
            <w:pPr>
              <w:jc w:val="center"/>
            </w:pPr>
            <w:r>
              <w:rPr>
                <w:rFonts w:ascii="宋体" w:hAnsi="宋体" w:eastAsia="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C2A7F5">
            <w:pPr>
              <w:jc w:val="center"/>
            </w:pPr>
            <w:r>
              <w:rPr>
                <w:rFonts w:ascii="宋体" w:hAnsi="宋体" w:eastAsia="宋体"/>
                <w:sz w:val="16"/>
              </w:rPr>
              <w:t>得分</w:t>
            </w:r>
          </w:p>
        </w:tc>
      </w:tr>
      <w:tr w14:paraId="4F603E82">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BE41938"/>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B9CB66">
            <w:pPr>
              <w:jc w:val="center"/>
            </w:pPr>
            <w:r>
              <w:rPr>
                <w:rFonts w:ascii="宋体" w:hAnsi="宋体" w:eastAsia="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FDA7D8">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A8317D">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9A0E94">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9255CA">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86A3F6">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A082EF">
            <w:pPr>
              <w:jc w:val="center"/>
            </w:pPr>
            <w:r>
              <w:rPr>
                <w:rFonts w:ascii="宋体" w:hAnsi="宋体" w:eastAsia="宋体"/>
                <w:sz w:val="16"/>
              </w:rPr>
              <w:t>-</w:t>
            </w:r>
          </w:p>
        </w:tc>
      </w:tr>
      <w:tr w14:paraId="59DFCE22">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2413814"/>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80BBF7">
            <w:pPr>
              <w:jc w:val="center"/>
            </w:pPr>
            <w:r>
              <w:rPr>
                <w:rFonts w:ascii="宋体" w:hAnsi="宋体" w:eastAsia="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3986F6">
            <w:pPr>
              <w:jc w:val="center"/>
            </w:pPr>
            <w:r>
              <w:rPr>
                <w:rFonts w:ascii="宋体" w:hAnsi="宋体" w:eastAsia="宋体"/>
                <w:sz w:val="16"/>
              </w:rPr>
              <w:t>35.47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3805EE">
            <w:pPr>
              <w:jc w:val="center"/>
            </w:pPr>
            <w:r>
              <w:rPr>
                <w:rFonts w:ascii="宋体" w:hAnsi="宋体" w:eastAsia="宋体"/>
                <w:sz w:val="16"/>
              </w:rPr>
              <w:t>43.76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137926">
            <w:pPr>
              <w:jc w:val="center"/>
            </w:pPr>
            <w:r>
              <w:rPr>
                <w:rFonts w:ascii="宋体" w:hAnsi="宋体" w:eastAsia="宋体"/>
                <w:sz w:val="16"/>
              </w:rPr>
              <w:t>43.76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0FA7DB">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668A89">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EE0EAC">
            <w:pPr>
              <w:jc w:val="center"/>
            </w:pPr>
            <w:r>
              <w:rPr>
                <w:rFonts w:ascii="宋体" w:hAnsi="宋体" w:eastAsia="宋体"/>
                <w:sz w:val="16"/>
              </w:rPr>
              <w:t>-</w:t>
            </w:r>
          </w:p>
        </w:tc>
      </w:tr>
      <w:tr w14:paraId="3347C9BE">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B224458"/>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C20FAA">
            <w:pPr>
              <w:jc w:val="center"/>
            </w:pPr>
            <w:r>
              <w:rPr>
                <w:rFonts w:ascii="宋体" w:hAnsi="宋体" w:eastAsia="宋体"/>
                <w:sz w:val="16"/>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8A7688">
            <w:pPr>
              <w:jc w:val="center"/>
            </w:pPr>
            <w:r>
              <w:rPr>
                <w:rFonts w:ascii="宋体" w:hAnsi="宋体" w:eastAsia="宋体"/>
                <w:sz w:val="16"/>
              </w:rPr>
              <w:t>60.00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07595C">
            <w:pPr>
              <w:jc w:val="center"/>
            </w:pPr>
            <w:r>
              <w:rPr>
                <w:rFonts w:ascii="宋体" w:hAnsi="宋体" w:eastAsia="宋体"/>
                <w:sz w:val="16"/>
              </w:rPr>
              <w:t>14.18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86F314">
            <w:pPr>
              <w:jc w:val="center"/>
            </w:pPr>
            <w:r>
              <w:rPr>
                <w:rFonts w:ascii="宋体" w:hAnsi="宋体" w:eastAsia="宋体"/>
                <w:sz w:val="16"/>
              </w:rPr>
              <w:t>14.18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00CB93">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CE2341">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C71305">
            <w:pPr>
              <w:jc w:val="center"/>
            </w:pPr>
            <w:r>
              <w:rPr>
                <w:rFonts w:ascii="宋体" w:hAnsi="宋体" w:eastAsia="宋体"/>
                <w:sz w:val="16"/>
              </w:rPr>
              <w:t>-</w:t>
            </w:r>
          </w:p>
        </w:tc>
      </w:tr>
      <w:tr w14:paraId="4264AE44">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5306DC6"/>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17FCE3">
            <w:pPr>
              <w:jc w:val="center"/>
            </w:pPr>
            <w:r>
              <w:rPr>
                <w:rFonts w:ascii="宋体" w:hAnsi="宋体" w:eastAsia="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576611">
            <w:pPr>
              <w:jc w:val="center"/>
            </w:pPr>
            <w:r>
              <w:rPr>
                <w:rFonts w:ascii="宋体" w:hAnsi="宋体" w:eastAsia="宋体"/>
                <w:sz w:val="16"/>
              </w:rPr>
              <w:t>95.47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33F66E">
            <w:pPr>
              <w:jc w:val="center"/>
            </w:pPr>
            <w:r>
              <w:rPr>
                <w:rFonts w:ascii="宋体" w:hAnsi="宋体" w:eastAsia="宋体"/>
                <w:sz w:val="16"/>
              </w:rPr>
              <w:t>57.94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6A83EE">
            <w:pPr>
              <w:jc w:val="center"/>
            </w:pPr>
            <w:r>
              <w:rPr>
                <w:rFonts w:ascii="宋体" w:hAnsi="宋体" w:eastAsia="宋体"/>
                <w:sz w:val="16"/>
              </w:rPr>
              <w:t>57.94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AA508C">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2C6152">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00AF81">
            <w:pPr>
              <w:jc w:val="center"/>
            </w:pPr>
            <w:r>
              <w:rPr>
                <w:rFonts w:ascii="宋体" w:hAnsi="宋体" w:eastAsia="宋体"/>
                <w:sz w:val="16"/>
              </w:rPr>
              <w:t>10</w:t>
            </w:r>
          </w:p>
        </w:tc>
      </w:tr>
      <w:tr w14:paraId="52EADDDD">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7B128D">
            <w:pPr>
              <w:jc w:val="center"/>
            </w:pPr>
            <w:r>
              <w:rPr>
                <w:rFonts w:ascii="宋体" w:hAnsi="宋体" w:eastAsia="宋体"/>
                <w:sz w:val="16"/>
              </w:rPr>
              <w:t>年度总体目标</w:t>
            </w:r>
          </w:p>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3AEA586">
            <w:pPr>
              <w:jc w:val="center"/>
            </w:pPr>
            <w:r>
              <w:rPr>
                <w:rFonts w:ascii="宋体" w:hAnsi="宋体" w:eastAsia="宋体"/>
                <w:sz w:val="16"/>
              </w:rPr>
              <w:t>预期目标</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55A9E14">
            <w:pPr>
              <w:jc w:val="center"/>
            </w:pPr>
            <w:r>
              <w:rPr>
                <w:rFonts w:ascii="宋体" w:hAnsi="宋体" w:eastAsia="宋体"/>
                <w:sz w:val="16"/>
              </w:rPr>
              <w:t>实际完成情况</w:t>
            </w:r>
          </w:p>
        </w:tc>
      </w:tr>
      <w:tr w14:paraId="55F1316C">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E09A33C"/>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0825BC8">
            <w:pPr>
              <w:jc w:val="both"/>
            </w:pPr>
            <w:r>
              <w:rPr>
                <w:rFonts w:ascii="宋体" w:hAnsi="宋体" w:eastAsia="宋体"/>
                <w:sz w:val="16"/>
              </w:rPr>
              <w:t>目标</w:t>
            </w:r>
            <w:r>
              <w:rPr>
                <w:rFonts w:hint="eastAsia" w:ascii="宋体" w:hAnsi="宋体"/>
                <w:sz w:val="16"/>
                <w:lang w:eastAsia="zh-CN"/>
              </w:rPr>
              <w:t>1</w:t>
            </w:r>
            <w:r>
              <w:rPr>
                <w:rFonts w:ascii="宋体" w:hAnsi="宋体" w:eastAsia="宋体"/>
                <w:sz w:val="16"/>
              </w:rPr>
              <w:t>：带领全州法学法律工作者，坚持以习近平新时代中国特色社会主义思想为指导，深入学习贯彻习近平法治思想，深入</w:t>
            </w:r>
            <w:r>
              <w:rPr>
                <w:rFonts w:hint="eastAsia" w:ascii="宋体" w:hAnsi="宋体"/>
                <w:sz w:val="16"/>
                <w:lang w:eastAsia="zh-CN"/>
              </w:rPr>
              <w:t>学习贯彻党的二十大精神</w:t>
            </w:r>
            <w:r>
              <w:rPr>
                <w:rFonts w:ascii="宋体" w:hAnsi="宋体" w:eastAsia="宋体"/>
                <w:sz w:val="16"/>
              </w:rPr>
              <w:t>，</w:t>
            </w:r>
            <w:r>
              <w:rPr>
                <w:rFonts w:hint="eastAsia" w:ascii="宋体" w:hAnsi="宋体"/>
                <w:sz w:val="16"/>
                <w:lang w:eastAsia="zh-CN"/>
              </w:rPr>
              <w:t>完整准确全面贯彻新时代党的治疆方略</w:t>
            </w:r>
            <w:r>
              <w:rPr>
                <w:rFonts w:ascii="宋体" w:hAnsi="宋体" w:eastAsia="宋体"/>
                <w:sz w:val="16"/>
              </w:rPr>
              <w:t>。</w:t>
            </w:r>
            <w:r>
              <w:rPr>
                <w:rFonts w:ascii="宋体" w:hAnsi="宋体" w:eastAsia="宋体"/>
                <w:sz w:val="16"/>
              </w:rPr>
              <w:br w:type="textWrapping"/>
            </w:r>
            <w:r>
              <w:rPr>
                <w:rFonts w:ascii="宋体" w:hAnsi="宋体" w:eastAsia="宋体"/>
                <w:sz w:val="16"/>
              </w:rPr>
              <w:br w:type="textWrapping"/>
            </w:r>
            <w:r>
              <w:rPr>
                <w:rFonts w:ascii="宋体" w:hAnsi="宋体" w:eastAsia="宋体"/>
                <w:sz w:val="16"/>
              </w:rPr>
              <w:t>目标</w:t>
            </w:r>
            <w:r>
              <w:rPr>
                <w:rFonts w:hint="eastAsia" w:ascii="宋体" w:hAnsi="宋体"/>
                <w:sz w:val="16"/>
                <w:lang w:eastAsia="zh-CN"/>
              </w:rPr>
              <w:t>2</w:t>
            </w:r>
            <w:r>
              <w:rPr>
                <w:rFonts w:ascii="宋体" w:hAnsi="宋体" w:eastAsia="宋体"/>
                <w:sz w:val="16"/>
              </w:rPr>
              <w:t>：贯彻落实中央政法工作会议和区、州党委政法工作会议精神，落实“八五”普法重点任务，切实做好加强政治引领、繁荣法学研究、服务法治实践、培养法治人才等工作，为加快推进法治昌吉建设、建设更高水平的平安昌吉、法治昌吉做出贡献。 目标3：举办“昌吉州青年普法志愿者法治文化基层行活动”“百名法学家百场报告会”活动至少2次、推进县市首席法律咨询专家制度试点工作至少（个）2个、组织开展全州法学会会员培训班1期、建设基层法学会试点工作站至少1个。</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510A6DD">
            <w:pPr>
              <w:jc w:val="both"/>
            </w:pPr>
            <w:r>
              <w:rPr>
                <w:rFonts w:ascii="宋体" w:hAnsi="宋体" w:eastAsia="宋体"/>
                <w:sz w:val="16"/>
              </w:rPr>
              <w:t>2024年</w:t>
            </w:r>
            <w:r>
              <w:rPr>
                <w:rFonts w:hint="eastAsia" w:ascii="宋体" w:hAnsi="宋体"/>
                <w:sz w:val="16"/>
                <w:lang w:eastAsia="zh-CN"/>
              </w:rPr>
              <w:t>本单位</w:t>
            </w:r>
            <w:r>
              <w:rPr>
                <w:rFonts w:ascii="宋体" w:hAnsi="宋体" w:eastAsia="宋体"/>
                <w:sz w:val="16"/>
              </w:rPr>
              <w:t>全年预算数为57.94万元，全年执行数为57.94万元，总预算执行率为100%。2024年</w:t>
            </w:r>
            <w:r>
              <w:rPr>
                <w:rFonts w:hint="eastAsia" w:ascii="宋体" w:hAnsi="宋体"/>
                <w:sz w:val="16"/>
                <w:lang w:eastAsia="zh-CN"/>
              </w:rPr>
              <w:t>本单位</w:t>
            </w:r>
            <w:r>
              <w:rPr>
                <w:rFonts w:ascii="宋体" w:hAnsi="宋体" w:eastAsia="宋体"/>
                <w:sz w:val="16"/>
              </w:rPr>
              <w:t>完成以下工作内容：1带领全州法学法律工作者，坚持以习近平新时代中国特色社会主义思想为指导，深入学习贯彻习近平法治思想，深入</w:t>
            </w:r>
            <w:r>
              <w:rPr>
                <w:rFonts w:hint="eastAsia" w:ascii="宋体" w:hAnsi="宋体"/>
                <w:sz w:val="16"/>
                <w:lang w:eastAsia="zh-CN"/>
              </w:rPr>
              <w:t>学习贯彻党的二十大精神</w:t>
            </w:r>
            <w:r>
              <w:rPr>
                <w:rFonts w:ascii="宋体" w:hAnsi="宋体" w:eastAsia="宋体"/>
                <w:sz w:val="16"/>
              </w:rPr>
              <w:t>，</w:t>
            </w:r>
            <w:r>
              <w:rPr>
                <w:rFonts w:hint="eastAsia" w:ascii="宋体" w:hAnsi="宋体"/>
                <w:sz w:val="16"/>
                <w:lang w:eastAsia="zh-CN"/>
              </w:rPr>
              <w:t>完整准确全面贯彻新时代党的治疆方略</w:t>
            </w:r>
            <w:r>
              <w:rPr>
                <w:rFonts w:ascii="宋体" w:hAnsi="宋体" w:eastAsia="宋体"/>
                <w:sz w:val="16"/>
              </w:rPr>
              <w:t>；2.贯彻落实中央政法工作会议和区、州党委政法工作会议精神，落实“八五”普法重点任务，切实做好加强政治引领、繁荣法学研究、服务法治实践、培养法治人才等工作，为加快推进法治昌吉建设、建设更高水平的平安昌吉、法治昌吉做出贡献；3、建设基层法学会试点工作站1个、推进县市首席法律咨询专家制度试点工作2个、聘请法学专家开展法学知识讲座1人、保障办公人员数量2人、举办昌吉州青年普法志愿者法治文化基层行活动2次。通过以上工作的实施，首席法律咨询专家工作不断规范、法学研究工作持续繁荣、法治宣传教育成效明显、积极助力法治昌吉建设、法学会队伍建设水平持续提升。</w:t>
            </w:r>
          </w:p>
        </w:tc>
      </w:tr>
      <w:tr w14:paraId="4E81F8B5">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11F2CB">
            <w:pPr>
              <w:jc w:val="center"/>
            </w:pPr>
            <w:r>
              <w:rPr>
                <w:rFonts w:ascii="宋体" w:hAnsi="宋体" w:eastAsia="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9A0199">
            <w:pPr>
              <w:jc w:val="center"/>
            </w:pPr>
            <w:r>
              <w:rPr>
                <w:rFonts w:ascii="宋体" w:hAnsi="宋体" w:eastAsia="宋体"/>
                <w:sz w:val="16"/>
              </w:rPr>
              <w:t>二级指标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CC2120">
            <w:pPr>
              <w:jc w:val="center"/>
            </w:pPr>
            <w:r>
              <w:rPr>
                <w:rFonts w:ascii="宋体" w:hAnsi="宋体" w:eastAsia="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14B537">
            <w:pPr>
              <w:jc w:val="center"/>
            </w:pPr>
            <w:r>
              <w:rPr>
                <w:rFonts w:ascii="宋体" w:hAnsi="宋体" w:eastAsia="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544F11">
            <w:pPr>
              <w:jc w:val="center"/>
            </w:pPr>
            <w:r>
              <w:rPr>
                <w:rFonts w:ascii="宋体" w:hAnsi="宋体" w:eastAsia="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26FE0E">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7FD10B">
            <w:pPr>
              <w:jc w:val="center"/>
            </w:pPr>
            <w:r>
              <w:rPr>
                <w:rFonts w:ascii="宋体" w:hAnsi="宋体" w:eastAsia="宋体"/>
                <w:sz w:val="16"/>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1544D0">
            <w:pPr>
              <w:jc w:val="center"/>
            </w:pPr>
            <w:r>
              <w:rPr>
                <w:rFonts w:ascii="宋体" w:hAnsi="宋体" w:eastAsia="宋体"/>
                <w:sz w:val="16"/>
              </w:rPr>
              <w:t>得分</w:t>
            </w:r>
          </w:p>
        </w:tc>
      </w:tr>
      <w:tr w14:paraId="092BE660">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96CF20">
            <w:pPr>
              <w:jc w:val="center"/>
            </w:pPr>
            <w:r>
              <w:rPr>
                <w:rFonts w:ascii="宋体" w:hAnsi="宋体" w:eastAsia="宋体"/>
                <w:sz w:val="16"/>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7A4B9D">
            <w:pPr>
              <w:jc w:val="center"/>
            </w:pPr>
            <w:r>
              <w:rPr>
                <w:rFonts w:ascii="宋体" w:hAnsi="宋体" w:eastAsia="宋体"/>
                <w:sz w:val="16"/>
              </w:rPr>
              <w:t>数量指标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DDA7EC">
            <w:pPr>
              <w:jc w:val="center"/>
            </w:pPr>
            <w:r>
              <w:rPr>
                <w:rFonts w:ascii="宋体" w:hAnsi="宋体" w:eastAsia="宋体"/>
                <w:sz w:val="16"/>
              </w:rPr>
              <w:t>组织开展全州法学会会员培训班</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5678C6">
            <w:pPr>
              <w:jc w:val="center"/>
            </w:pPr>
            <w:r>
              <w:rPr>
                <w:rFonts w:ascii="宋体" w:hAnsi="宋体" w:eastAsia="宋体"/>
                <w:sz w:val="16"/>
              </w:rPr>
              <w:t>=1期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E51BC1">
            <w:pPr>
              <w:jc w:val="center"/>
            </w:pPr>
            <w:r>
              <w:rPr>
                <w:rFonts w:ascii="宋体" w:hAnsi="宋体" w:eastAsia="宋体"/>
                <w:sz w:val="16"/>
              </w:rPr>
              <w:t>2023年度昌吉州法学会工作总结及24年工作计划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AA3847">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0717C7">
            <w:pPr>
              <w:jc w:val="center"/>
            </w:pPr>
            <w:r>
              <w:rPr>
                <w:rFonts w:ascii="宋体" w:hAnsi="宋体" w:eastAsia="宋体"/>
                <w:sz w:val="16"/>
              </w:rPr>
              <w:t>0期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01F890">
            <w:pPr>
              <w:jc w:val="center"/>
            </w:pPr>
            <w:r>
              <w:rPr>
                <w:rFonts w:ascii="宋体" w:hAnsi="宋体" w:eastAsia="宋体"/>
                <w:sz w:val="16"/>
              </w:rPr>
              <w:t>0</w:t>
            </w:r>
          </w:p>
        </w:tc>
      </w:tr>
      <w:tr w14:paraId="53D248F3">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7C47D6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49365D2"/>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431BB2">
            <w:pPr>
              <w:jc w:val="center"/>
            </w:pPr>
            <w:r>
              <w:rPr>
                <w:rFonts w:ascii="宋体" w:hAnsi="宋体" w:eastAsia="宋体"/>
                <w:sz w:val="16"/>
              </w:rPr>
              <w:t>建设基层法学会试点工作站</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D4278C">
            <w:pPr>
              <w:jc w:val="center"/>
            </w:pPr>
            <w:r>
              <w:rPr>
                <w:rFonts w:ascii="宋体" w:hAnsi="宋体" w:eastAsia="宋体"/>
                <w:sz w:val="16"/>
              </w:rPr>
              <w:t>&gt;=1个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E67E7F">
            <w:pPr>
              <w:jc w:val="center"/>
            </w:pPr>
            <w:r>
              <w:rPr>
                <w:rFonts w:ascii="宋体" w:hAnsi="宋体" w:eastAsia="宋体"/>
                <w:sz w:val="16"/>
              </w:rPr>
              <w:t>2023年度昌吉州法学会工作总结及24年工作计划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F9CC25">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456BE5">
            <w:pPr>
              <w:jc w:val="center"/>
            </w:pPr>
            <w:r>
              <w:rPr>
                <w:rFonts w:ascii="宋体" w:hAnsi="宋体" w:eastAsia="宋体"/>
                <w:sz w:val="16"/>
              </w:rPr>
              <w:t>1个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CCCF8C">
            <w:pPr>
              <w:jc w:val="center"/>
            </w:pPr>
            <w:r>
              <w:rPr>
                <w:rFonts w:ascii="宋体" w:hAnsi="宋体" w:eastAsia="宋体"/>
                <w:sz w:val="16"/>
              </w:rPr>
              <w:t>10</w:t>
            </w:r>
          </w:p>
        </w:tc>
      </w:tr>
      <w:tr w14:paraId="35B0040D">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325C82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3AFF738"/>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B5538B">
            <w:pPr>
              <w:jc w:val="center"/>
            </w:pPr>
            <w:r>
              <w:rPr>
                <w:rFonts w:ascii="宋体" w:hAnsi="宋体" w:eastAsia="宋体"/>
                <w:sz w:val="16"/>
              </w:rPr>
              <w:t>推进县市首席法律咨询专家制度试点工作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10C0F7">
            <w:pPr>
              <w:jc w:val="center"/>
            </w:pPr>
            <w:r>
              <w:rPr>
                <w:rFonts w:ascii="宋体" w:hAnsi="宋体" w:eastAsia="宋体"/>
                <w:sz w:val="16"/>
              </w:rPr>
              <w:t>&gt;=2个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279C3F">
            <w:pPr>
              <w:jc w:val="center"/>
            </w:pPr>
            <w:r>
              <w:rPr>
                <w:rFonts w:ascii="宋体" w:hAnsi="宋体" w:eastAsia="宋体"/>
                <w:sz w:val="16"/>
              </w:rPr>
              <w:t>2023年度昌吉州法学会工作总结及24年工作计划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3DAE33">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0B6808">
            <w:pPr>
              <w:jc w:val="center"/>
            </w:pPr>
            <w:r>
              <w:rPr>
                <w:rFonts w:ascii="宋体" w:hAnsi="宋体" w:eastAsia="宋体"/>
                <w:sz w:val="16"/>
              </w:rPr>
              <w:t>2个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DA02C6">
            <w:pPr>
              <w:jc w:val="center"/>
            </w:pPr>
            <w:r>
              <w:rPr>
                <w:rFonts w:ascii="宋体" w:hAnsi="宋体" w:eastAsia="宋体"/>
                <w:sz w:val="16"/>
              </w:rPr>
              <w:t>10</w:t>
            </w:r>
          </w:p>
        </w:tc>
      </w:tr>
      <w:tr w14:paraId="181AFA56">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2A3581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DB69869"/>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A1A811">
            <w:pPr>
              <w:jc w:val="center"/>
            </w:pPr>
            <w:r>
              <w:rPr>
                <w:rFonts w:ascii="宋体" w:hAnsi="宋体" w:eastAsia="宋体"/>
                <w:sz w:val="16"/>
              </w:rPr>
              <w:t>聘请法学专家开展法学知识讲座</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914EE0">
            <w:pPr>
              <w:jc w:val="center"/>
            </w:pPr>
            <w:r>
              <w:rPr>
                <w:rFonts w:ascii="宋体" w:hAnsi="宋体" w:eastAsia="宋体"/>
                <w:sz w:val="16"/>
              </w:rPr>
              <w:t>&gt;=1人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690E2B">
            <w:pPr>
              <w:jc w:val="center"/>
            </w:pPr>
            <w:r>
              <w:rPr>
                <w:rFonts w:ascii="宋体" w:hAnsi="宋体" w:eastAsia="宋体"/>
                <w:sz w:val="16"/>
              </w:rPr>
              <w:t>2023年度昌吉州法学会工作总结及24年工作计划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3B0C2E">
            <w:pPr>
              <w:jc w:val="center"/>
            </w:pPr>
            <w:r>
              <w:rPr>
                <w:rFonts w:ascii="宋体" w:hAnsi="宋体" w:eastAsia="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0581D5">
            <w:pPr>
              <w:jc w:val="center"/>
            </w:pPr>
            <w:r>
              <w:rPr>
                <w:rFonts w:ascii="宋体" w:hAnsi="宋体" w:eastAsia="宋体"/>
                <w:sz w:val="16"/>
              </w:rPr>
              <w:t>1人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050BC5">
            <w:pPr>
              <w:jc w:val="center"/>
            </w:pPr>
            <w:r>
              <w:rPr>
                <w:rFonts w:ascii="宋体" w:hAnsi="宋体" w:eastAsia="宋体"/>
                <w:sz w:val="16"/>
              </w:rPr>
              <w:t>15</w:t>
            </w:r>
          </w:p>
        </w:tc>
      </w:tr>
      <w:tr w14:paraId="3C915492">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F8502D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10B340"/>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04AA07">
            <w:pPr>
              <w:jc w:val="center"/>
            </w:pPr>
            <w:r>
              <w:rPr>
                <w:rFonts w:ascii="宋体" w:hAnsi="宋体" w:eastAsia="宋体"/>
                <w:sz w:val="16"/>
              </w:rPr>
              <w:t>保障办公人员数量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36B8DD">
            <w:pPr>
              <w:jc w:val="center"/>
            </w:pPr>
            <w:r>
              <w:rPr>
                <w:rFonts w:ascii="宋体" w:hAnsi="宋体" w:eastAsia="宋体"/>
                <w:sz w:val="16"/>
              </w:rPr>
              <w:t>=1人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B3CA65">
            <w:pPr>
              <w:jc w:val="center"/>
            </w:pPr>
            <w:r>
              <w:rPr>
                <w:rFonts w:ascii="宋体" w:hAnsi="宋体" w:eastAsia="宋体"/>
                <w:sz w:val="16"/>
              </w:rPr>
              <w:t>2023年度昌吉州法学会工作总结及24年工作计划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47B27D">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5E1E2F">
            <w:pPr>
              <w:jc w:val="center"/>
            </w:pPr>
            <w:r>
              <w:rPr>
                <w:rFonts w:ascii="宋体" w:hAnsi="宋体" w:eastAsia="宋体"/>
                <w:sz w:val="16"/>
              </w:rPr>
              <w:t>2人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679964">
            <w:pPr>
              <w:jc w:val="center"/>
            </w:pPr>
            <w:r>
              <w:rPr>
                <w:rFonts w:ascii="宋体" w:hAnsi="宋体" w:eastAsia="宋体"/>
                <w:sz w:val="16"/>
              </w:rPr>
              <w:t>10</w:t>
            </w:r>
          </w:p>
        </w:tc>
      </w:tr>
      <w:tr w14:paraId="6276131E">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990A49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9846FAA"/>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396688">
            <w:pPr>
              <w:jc w:val="center"/>
            </w:pPr>
            <w:r>
              <w:rPr>
                <w:rFonts w:ascii="宋体" w:hAnsi="宋体" w:eastAsia="宋体"/>
                <w:sz w:val="16"/>
              </w:rPr>
              <w:t>举办昌吉州青年普法志愿者法治文化基层行活动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FEC595">
            <w:pPr>
              <w:jc w:val="center"/>
            </w:pPr>
            <w:r>
              <w:rPr>
                <w:rFonts w:ascii="宋体" w:hAnsi="宋体" w:eastAsia="宋体"/>
                <w:sz w:val="16"/>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170272">
            <w:pPr>
              <w:jc w:val="center"/>
            </w:pPr>
            <w:r>
              <w:rPr>
                <w:rFonts w:ascii="宋体" w:hAnsi="宋体" w:eastAsia="宋体"/>
                <w:sz w:val="16"/>
              </w:rPr>
              <w:t>2023年度昌吉州法学会工作总结及24年工作计划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290CB3">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7FFDA3">
            <w:pPr>
              <w:jc w:val="center"/>
            </w:pPr>
            <w:r>
              <w:rPr>
                <w:rFonts w:ascii="宋体" w:hAnsi="宋体" w:eastAsia="宋体"/>
                <w:sz w:val="16"/>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8246AB">
            <w:pPr>
              <w:jc w:val="center"/>
            </w:pPr>
            <w:r>
              <w:rPr>
                <w:rFonts w:ascii="宋体" w:hAnsi="宋体" w:eastAsia="宋体"/>
                <w:sz w:val="16"/>
              </w:rPr>
              <w:t>20</w:t>
            </w:r>
          </w:p>
        </w:tc>
      </w:tr>
      <w:tr w14:paraId="559D983F">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88045E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C56778">
            <w:pPr>
              <w:jc w:val="center"/>
            </w:pPr>
            <w:r>
              <w:rPr>
                <w:rFonts w:ascii="宋体" w:hAnsi="宋体" w:eastAsia="宋体"/>
                <w:sz w:val="16"/>
              </w:rPr>
              <w:t>质量指标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D7B384">
            <w:pPr>
              <w:jc w:val="center"/>
            </w:pPr>
            <w:r>
              <w:rPr>
                <w:rFonts w:ascii="宋体" w:hAnsi="宋体" w:eastAsia="宋体"/>
                <w:sz w:val="16"/>
              </w:rPr>
              <w:t>对全州县市指导调研检查覆盖率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6328C5">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5ED20F">
            <w:pPr>
              <w:jc w:val="center"/>
            </w:pPr>
            <w:r>
              <w:rPr>
                <w:rFonts w:ascii="宋体" w:hAnsi="宋体" w:eastAsia="宋体"/>
                <w:sz w:val="16"/>
              </w:rPr>
              <w:t>2023年度昌吉州法学会工作总结及24年工作计划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D49FCD">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11C15B">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1D447C">
            <w:pPr>
              <w:jc w:val="center"/>
            </w:pPr>
            <w:r>
              <w:rPr>
                <w:rFonts w:ascii="宋体" w:hAnsi="宋体" w:eastAsia="宋体"/>
                <w:sz w:val="16"/>
              </w:rPr>
              <w:t>10</w:t>
            </w:r>
          </w:p>
        </w:tc>
      </w:tr>
    </w:tbl>
    <w:p w14:paraId="797C7855">
      <w:r>
        <w:br w:type="page"/>
      </w:r>
    </w:p>
    <w:tbl>
      <w:tblPr>
        <w:tblStyle w:val="9"/>
        <w:tblW w:w="0" w:type="auto"/>
        <w:tblInd w:w="0" w:type="dxa"/>
        <w:tblLayout w:type="autofit"/>
        <w:tblCellMar>
          <w:top w:w="0" w:type="dxa"/>
          <w:left w:w="108" w:type="dxa"/>
          <w:bottom w:w="0" w:type="dxa"/>
          <w:right w:w="108" w:type="dxa"/>
        </w:tblCellMar>
      </w:tblPr>
      <w:tblGrid>
        <w:gridCol w:w="623"/>
        <w:gridCol w:w="612"/>
        <w:gridCol w:w="612"/>
        <w:gridCol w:w="856"/>
        <w:gridCol w:w="618"/>
        <w:gridCol w:w="696"/>
        <w:gridCol w:w="631"/>
        <w:gridCol w:w="624"/>
        <w:gridCol w:w="696"/>
        <w:gridCol w:w="612"/>
        <w:gridCol w:w="624"/>
        <w:gridCol w:w="613"/>
        <w:gridCol w:w="612"/>
        <w:gridCol w:w="631"/>
      </w:tblGrid>
      <w:tr w14:paraId="48E1DA06">
        <w:tblPrEx>
          <w:tblCellMar>
            <w:top w:w="0" w:type="dxa"/>
            <w:left w:w="108" w:type="dxa"/>
            <w:bottom w:w="0" w:type="dxa"/>
            <w:right w:w="108" w:type="dxa"/>
          </w:tblCellMar>
        </w:tblPrEx>
        <w:tc>
          <w:tcPr>
            <w:tcW w:w="8848" w:type="dxa"/>
            <w:gridSpan w:val="14"/>
            <w:vAlign w:val="center"/>
          </w:tcPr>
          <w:p w14:paraId="4BBB0564">
            <w:pPr>
              <w:jc w:val="center"/>
            </w:pPr>
            <w:r>
              <w:rPr>
                <w:rFonts w:ascii="宋体" w:hAnsi="宋体" w:eastAsia="宋体"/>
                <w:sz w:val="24"/>
              </w:rPr>
              <w:t>项目支出绩效自评表</w:t>
            </w:r>
          </w:p>
        </w:tc>
      </w:tr>
      <w:tr w14:paraId="0778AF6F">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BED526D">
            <w:pPr>
              <w:jc w:val="center"/>
            </w:pPr>
            <w:r>
              <w:rPr>
                <w:rFonts w:ascii="宋体" w:hAnsi="宋体" w:eastAsia="宋体"/>
                <w:sz w:val="24"/>
              </w:rPr>
              <w:t>(2024年度)</w:t>
            </w:r>
          </w:p>
        </w:tc>
      </w:tr>
      <w:tr w14:paraId="54676450">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9A7506">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7D57D5C">
            <w:pPr>
              <w:jc w:val="center"/>
            </w:pPr>
            <w:r>
              <w:rPr>
                <w:rFonts w:ascii="宋体" w:hAnsi="宋体" w:eastAsia="宋体"/>
                <w:sz w:val="16"/>
              </w:rPr>
              <w:t>州法学会业务费用</w:t>
            </w:r>
          </w:p>
        </w:tc>
      </w:tr>
      <w:tr w14:paraId="14694C54">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8C3808">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7086D09">
            <w:pPr>
              <w:jc w:val="center"/>
            </w:pPr>
            <w:r>
              <w:rPr>
                <w:rFonts w:ascii="宋体" w:hAnsi="宋体" w:eastAsia="宋体"/>
                <w:sz w:val="16"/>
              </w:rPr>
              <w:t>昌吉回族自治州法学会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E4C2B1F">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79CC61B">
            <w:pPr>
              <w:jc w:val="center"/>
            </w:pPr>
            <w:r>
              <w:rPr>
                <w:rFonts w:ascii="宋体" w:hAnsi="宋体" w:eastAsia="宋体"/>
                <w:sz w:val="16"/>
              </w:rPr>
              <w:t>昌吉回族自治州法学会</w:t>
            </w:r>
          </w:p>
        </w:tc>
      </w:tr>
      <w:tr w14:paraId="33D07A11">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11158D">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4FAF33">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BA0DEF">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F637A0">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61C665">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250260">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7B2FE8">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B04A00">
            <w:pPr>
              <w:jc w:val="center"/>
            </w:pPr>
            <w:r>
              <w:rPr>
                <w:rFonts w:ascii="宋体" w:hAnsi="宋体" w:eastAsia="宋体"/>
                <w:sz w:val="16"/>
              </w:rPr>
              <w:t>得分</w:t>
            </w:r>
          </w:p>
        </w:tc>
      </w:tr>
      <w:tr w14:paraId="029A219B">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27F2283"/>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CB9217">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F95331">
            <w:pPr>
              <w:jc w:val="center"/>
            </w:pPr>
            <w:r>
              <w:rPr>
                <w:rFonts w:ascii="宋体" w:hAnsi="宋体" w:eastAsia="宋体"/>
                <w:sz w:val="16"/>
              </w:rPr>
              <w:t>15.00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A4C067">
            <w:pPr>
              <w:jc w:val="center"/>
            </w:pPr>
            <w:r>
              <w:rPr>
                <w:rFonts w:ascii="宋体" w:hAnsi="宋体" w:eastAsia="宋体"/>
                <w:sz w:val="16"/>
              </w:rPr>
              <w:t>13.04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EF0B98">
            <w:pPr>
              <w:jc w:val="center"/>
            </w:pPr>
            <w:r>
              <w:rPr>
                <w:rFonts w:ascii="宋体" w:hAnsi="宋体" w:eastAsia="宋体"/>
                <w:sz w:val="16"/>
              </w:rPr>
              <w:t>13.04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EEEA05">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229264">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5649E2">
            <w:pPr>
              <w:jc w:val="center"/>
            </w:pPr>
            <w:r>
              <w:rPr>
                <w:rFonts w:ascii="宋体" w:hAnsi="宋体" w:eastAsia="宋体"/>
                <w:sz w:val="16"/>
              </w:rPr>
              <w:t>10.00</w:t>
            </w:r>
          </w:p>
        </w:tc>
      </w:tr>
      <w:tr w14:paraId="13FEB414">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CEC9AD9"/>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3869E6">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1EF805">
            <w:pPr>
              <w:jc w:val="center"/>
            </w:pPr>
            <w:r>
              <w:rPr>
                <w:rFonts w:ascii="宋体" w:hAnsi="宋体" w:eastAsia="宋体"/>
                <w:sz w:val="16"/>
              </w:rPr>
              <w:t>15.00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6361FB">
            <w:pPr>
              <w:jc w:val="center"/>
            </w:pPr>
            <w:r>
              <w:rPr>
                <w:rFonts w:ascii="宋体" w:hAnsi="宋体" w:eastAsia="宋体"/>
                <w:sz w:val="16"/>
              </w:rPr>
              <w:t>13.04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ECD539">
            <w:pPr>
              <w:jc w:val="center"/>
            </w:pPr>
            <w:r>
              <w:rPr>
                <w:rFonts w:ascii="宋体" w:hAnsi="宋体" w:eastAsia="宋体"/>
                <w:sz w:val="16"/>
              </w:rPr>
              <w:t>13.04</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2120B8">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E73059">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6AE0BA">
            <w:pPr>
              <w:jc w:val="center"/>
            </w:pPr>
            <w:r>
              <w:rPr>
                <w:rFonts w:ascii="宋体" w:hAnsi="宋体" w:eastAsia="宋体"/>
                <w:sz w:val="16"/>
              </w:rPr>
              <w:t>—</w:t>
            </w:r>
          </w:p>
        </w:tc>
      </w:tr>
      <w:tr w14:paraId="16C160F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328A466"/>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88D9D2">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EFED71">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701623">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4A06FC">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BBC5A4">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9BF9FD">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C017DB">
            <w:pPr>
              <w:jc w:val="center"/>
            </w:pPr>
            <w:r>
              <w:rPr>
                <w:rFonts w:ascii="宋体" w:hAnsi="宋体" w:eastAsia="宋体"/>
                <w:sz w:val="16"/>
              </w:rPr>
              <w:t>—</w:t>
            </w:r>
          </w:p>
        </w:tc>
      </w:tr>
      <w:tr w14:paraId="39050423">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7E3316">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A536709">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38A98D7">
            <w:pPr>
              <w:jc w:val="center"/>
            </w:pPr>
            <w:r>
              <w:rPr>
                <w:rFonts w:ascii="宋体" w:hAnsi="宋体" w:eastAsia="宋体"/>
                <w:sz w:val="16"/>
              </w:rPr>
              <w:t>实际完成情况</w:t>
            </w:r>
          </w:p>
        </w:tc>
      </w:tr>
      <w:tr w14:paraId="17375F22">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AF8F555"/>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C2B3921">
            <w:pPr>
              <w:jc w:val="both"/>
            </w:pPr>
            <w:r>
              <w:rPr>
                <w:rFonts w:ascii="宋体" w:hAnsi="宋体" w:eastAsia="宋体"/>
                <w:sz w:val="16"/>
              </w:rPr>
              <w:t>举办“昌吉州青年普法志愿者法治文化基层行活动”“百名法学家百场报告会”活动1次、建设基层法学会试点工作站（个）1个、推进县市首席法律咨询专家制度试点工作（个）1个、对全州县市指导调研检查覆盖率达到</w:t>
            </w:r>
            <w:r>
              <w:rPr>
                <w:rFonts w:hint="eastAsia" w:ascii="宋体" w:hAnsi="宋体"/>
                <w:sz w:val="16"/>
                <w:lang w:eastAsia="zh-CN"/>
              </w:rPr>
              <w:t>100%</w:t>
            </w:r>
            <w:r>
              <w:rPr>
                <w:rFonts w:ascii="宋体" w:hAnsi="宋体" w:eastAsia="宋体"/>
                <w:sz w:val="16"/>
              </w:rPr>
              <w:t>。</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343C4D9">
            <w:pPr>
              <w:jc w:val="both"/>
            </w:pPr>
            <w:r>
              <w:rPr>
                <w:rFonts w:hint="eastAsia" w:ascii="宋体" w:hAnsi="宋体"/>
                <w:sz w:val="16"/>
                <w:lang w:eastAsia="zh-CN"/>
              </w:rPr>
              <w:t>截至2024</w:t>
            </w:r>
            <w:r>
              <w:rPr>
                <w:rFonts w:ascii="宋体" w:hAnsi="宋体" w:eastAsia="宋体"/>
                <w:sz w:val="16"/>
              </w:rPr>
              <w:t>年12月31日，该项目实际完成了举办“昌吉州青年普法志愿者法治文化基层行活动”“百名法学家百场报告会”活动1次、建设基层法学会试点工作站（个）1个、推进县市首席法律咨询专家制度试点工作（个）1个、对全州县市指导调研检查覆盖率达到</w:t>
            </w:r>
            <w:r>
              <w:rPr>
                <w:rFonts w:hint="eastAsia" w:ascii="宋体" w:hAnsi="宋体"/>
                <w:sz w:val="16"/>
                <w:lang w:eastAsia="zh-CN"/>
              </w:rPr>
              <w:t>100%</w:t>
            </w:r>
            <w:r>
              <w:rPr>
                <w:rFonts w:ascii="宋体" w:hAnsi="宋体" w:eastAsia="宋体"/>
                <w:sz w:val="16"/>
              </w:rPr>
              <w:t>。推动了州、县两级将首席法律咨询专家工作和法学会基层服务站点建设列入平安建设考评体系，作为县市法学会年度考评重点，推动各级主要领导高度重视，及时研究解决工作推进中的堵点、难点问题，完善了各级首席法律咨询专家库人员相关情况和首席法律咨询专家基层服务站点公开情况，提升了法学会队伍建设水平。</w:t>
            </w:r>
          </w:p>
        </w:tc>
      </w:tr>
      <w:tr w14:paraId="066370A5">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052C6AA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D53E65">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78AB9AD">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E320F3">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D696E96">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BB9215">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AB56F5">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69DE15">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12122B">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6E39F3">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93AB3E">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75C904">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83E3AD">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EE9A02">
            <w:pPr>
              <w:jc w:val="center"/>
            </w:pPr>
            <w:r>
              <w:rPr>
                <w:rFonts w:ascii="宋体" w:hAnsi="宋体" w:eastAsia="宋体"/>
                <w:sz w:val="16"/>
              </w:rPr>
              <w:t>偏差原因分析及改进措施</w:t>
            </w:r>
          </w:p>
        </w:tc>
      </w:tr>
      <w:tr w14:paraId="783A895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6ABC7F">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90E60B">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396228">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1991C1">
            <w:pPr>
              <w:jc w:val="center"/>
            </w:pPr>
            <w:r>
              <w:rPr>
                <w:rFonts w:ascii="宋体" w:hAnsi="宋体" w:eastAsia="宋体"/>
                <w:sz w:val="16"/>
              </w:rPr>
              <w:t>举办“昌吉州青年普法志愿者法治文化基层行活动”“百名法学家百场报告会”活动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A8744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CCF7423">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D6C78C">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9312BC">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11167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DE7520">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B49136">
            <w:pPr>
              <w:jc w:val="center"/>
            </w:pPr>
            <w:r>
              <w:rPr>
                <w:rFonts w:ascii="宋体" w:hAnsi="宋体" w:eastAsia="宋体"/>
                <w:sz w:val="16"/>
              </w:rPr>
              <w:t>2次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54D695">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1C5BB9">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F15457">
            <w:pPr>
              <w:jc w:val="center"/>
            </w:pPr>
          </w:p>
        </w:tc>
      </w:tr>
      <w:tr w14:paraId="26BD6E1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420477C"/>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7D435C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920B05D"/>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8CAFFA8">
            <w:pPr>
              <w:jc w:val="center"/>
            </w:pPr>
            <w:r>
              <w:rPr>
                <w:rFonts w:ascii="宋体" w:hAnsi="宋体" w:eastAsia="宋体"/>
                <w:sz w:val="16"/>
              </w:rPr>
              <w:t>建设基层法学会试点工作站（个）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A3D06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04DF75">
            <w:pPr>
              <w:jc w:val="center"/>
            </w:pPr>
            <w:r>
              <w:rPr>
                <w:rFonts w:ascii="宋体" w:hAnsi="宋体" w:eastAsia="宋体"/>
                <w:sz w:val="16"/>
              </w:rPr>
              <w:t>&gt;=1个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53B25A">
            <w:pPr>
              <w:jc w:val="center"/>
            </w:pPr>
            <w:r>
              <w:rPr>
                <w:rFonts w:ascii="宋体" w:hAnsi="宋体" w:eastAsia="宋体"/>
                <w:sz w:val="16"/>
              </w:rPr>
              <w: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B8DCEB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A727A6">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601EB76">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6F19F00">
            <w:pPr>
              <w:jc w:val="center"/>
            </w:pPr>
            <w:r>
              <w:rPr>
                <w:rFonts w:ascii="宋体" w:hAnsi="宋体" w:eastAsia="宋体"/>
                <w:sz w:val="16"/>
              </w:rPr>
              <w: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BAD94E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A66B0C">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A47DE29">
            <w:pPr>
              <w:jc w:val="center"/>
            </w:pPr>
          </w:p>
        </w:tc>
      </w:tr>
      <w:tr w14:paraId="04D603CF">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109F57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5AFE9C6"/>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35B5859"/>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DE639F1">
            <w:pPr>
              <w:jc w:val="center"/>
            </w:pPr>
            <w:r>
              <w:rPr>
                <w:rFonts w:ascii="宋体" w:hAnsi="宋体" w:eastAsia="宋体"/>
                <w:sz w:val="16"/>
              </w:rPr>
              <w:t>推进县市首席法律咨询专家制度试点工作（个）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F63C97E">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384C902">
            <w:pPr>
              <w:jc w:val="center"/>
            </w:pPr>
            <w:r>
              <w:rPr>
                <w:rFonts w:ascii="宋体" w:hAnsi="宋体" w:eastAsia="宋体"/>
                <w:sz w:val="16"/>
              </w:rPr>
              <w:t>&gt;=1个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66DA96">
            <w:pPr>
              <w:jc w:val="center"/>
            </w:pPr>
            <w:r>
              <w:rPr>
                <w:rFonts w:ascii="宋体" w:hAnsi="宋体" w:eastAsia="宋体"/>
                <w:sz w:val="16"/>
              </w:rPr>
              <w: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8D591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1BA4B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91CF29">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F7AC73">
            <w:pPr>
              <w:jc w:val="center"/>
            </w:pPr>
            <w:r>
              <w:rPr>
                <w:rFonts w:ascii="宋体" w:hAnsi="宋体" w:eastAsia="宋体"/>
                <w:sz w:val="16"/>
              </w:rPr>
              <w: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E6ACBD">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2F0AD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424AC29">
            <w:pPr>
              <w:jc w:val="center"/>
            </w:pPr>
          </w:p>
        </w:tc>
      </w:tr>
      <w:tr w14:paraId="6506703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CF1A9F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5CA302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173AC1">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11A766">
            <w:pPr>
              <w:jc w:val="center"/>
            </w:pPr>
            <w:r>
              <w:rPr>
                <w:rFonts w:ascii="宋体" w:hAnsi="宋体" w:eastAsia="宋体"/>
                <w:sz w:val="16"/>
              </w:rPr>
              <w:t>对全州县市指导调研检查覆盖率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4FF80C">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4821CE6">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0999C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809BB68">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63D915">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895EC34">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7292C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AB050B">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2D7E76">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599520">
            <w:pPr>
              <w:jc w:val="center"/>
            </w:pPr>
          </w:p>
        </w:tc>
      </w:tr>
      <w:tr w14:paraId="3614964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07A03DC"/>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D65B46">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064503">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94E795">
            <w:pPr>
              <w:jc w:val="center"/>
            </w:pPr>
            <w:r>
              <w:rPr>
                <w:rFonts w:ascii="宋体" w:hAnsi="宋体" w:eastAsia="宋体"/>
                <w:sz w:val="16"/>
              </w:rPr>
              <w:t>宣传经费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6BE594">
            <w:pPr>
              <w:jc w:val="center"/>
            </w:pPr>
            <w:r>
              <w:rPr>
                <w:rFonts w:ascii="宋体" w:hAnsi="宋体" w:eastAsia="宋体"/>
                <w:sz w:val="16"/>
              </w:rPr>
              <w:t>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A720AEA">
            <w:pPr>
              <w:jc w:val="center"/>
            </w:pPr>
            <w:r>
              <w:rPr>
                <w:rFonts w:ascii="宋体" w:hAnsi="宋体" w:eastAsia="宋体"/>
                <w:sz w:val="16"/>
              </w:rPr>
              <w:t>&lt;=7.48万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1E01B1">
            <w:pPr>
              <w:jc w:val="center"/>
            </w:pPr>
            <w:r>
              <w:rPr>
                <w:rFonts w:ascii="宋体" w:hAnsi="宋体" w:eastAsia="宋体"/>
                <w:sz w:val="16"/>
              </w:rPr>
              <w:t>=7.48</w:t>
            </w:r>
            <w:r>
              <w:rPr>
                <w:rFonts w:hint="eastAsia" w:ascii="宋体" w:hAnsi="宋体"/>
                <w:sz w:val="16"/>
                <w:lang w:eastAsia="zh-CN"/>
              </w:rPr>
              <w:t>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84E520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3356112">
            <w:pPr>
              <w:jc w:val="center"/>
            </w:pPr>
            <w:r>
              <w:rPr>
                <w:rFonts w:ascii="宋体" w:hAnsi="宋体" w:eastAsia="宋体"/>
                <w:sz w:val="16"/>
              </w:rPr>
              <w:t>12</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626C7C0">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CBE255">
            <w:pPr>
              <w:jc w:val="center"/>
            </w:pPr>
            <w:r>
              <w:rPr>
                <w:rFonts w:ascii="宋体" w:hAnsi="宋体" w:eastAsia="宋体"/>
                <w:sz w:val="16"/>
              </w:rPr>
              <w:t>8.53万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F76F02">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9F86B9">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42FB65E">
            <w:pPr>
              <w:jc w:val="center"/>
            </w:pPr>
          </w:p>
        </w:tc>
      </w:tr>
      <w:tr w14:paraId="19F58A60">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521C37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09D7F32"/>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BE48855"/>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5AE642E">
            <w:pPr>
              <w:jc w:val="center"/>
            </w:pPr>
            <w:r>
              <w:rPr>
                <w:rFonts w:ascii="宋体" w:hAnsi="宋体" w:eastAsia="宋体"/>
                <w:sz w:val="16"/>
              </w:rPr>
              <w:t>业务经费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CA81E60">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83E32E">
            <w:pPr>
              <w:jc w:val="center"/>
            </w:pPr>
            <w:r>
              <w:rPr>
                <w:rFonts w:ascii="宋体" w:hAnsi="宋体" w:eastAsia="宋体"/>
                <w:sz w:val="16"/>
              </w:rPr>
              <w:t>&lt;=5.56万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46DD87">
            <w:pPr>
              <w:jc w:val="center"/>
            </w:pPr>
            <w:r>
              <w:rPr>
                <w:rFonts w:ascii="宋体" w:hAnsi="宋体" w:eastAsia="宋体"/>
                <w:sz w:val="16"/>
              </w:rPr>
              <w:t>=5.56</w:t>
            </w:r>
            <w:r>
              <w:rPr>
                <w:rFonts w:hint="eastAsia" w:ascii="宋体" w:hAnsi="宋体"/>
                <w:sz w:val="16"/>
                <w:lang w:eastAsia="zh-CN"/>
              </w:rPr>
              <w:t>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55DD6E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BF817F">
            <w:pPr>
              <w:jc w:val="center"/>
            </w:pPr>
            <w:r>
              <w:rPr>
                <w:rFonts w:ascii="宋体" w:hAnsi="宋体" w:eastAsia="宋体"/>
                <w:sz w:val="16"/>
              </w:rPr>
              <w:t>8</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EACAB9">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122C511">
            <w:pPr>
              <w:jc w:val="center"/>
            </w:pPr>
            <w:r>
              <w:rPr>
                <w:rFonts w:ascii="宋体" w:hAnsi="宋体" w:eastAsia="宋体"/>
                <w:sz w:val="16"/>
              </w:rPr>
              <w:t>9.72万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593D2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83BB94">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CC4D01">
            <w:pPr>
              <w:jc w:val="center"/>
            </w:pPr>
          </w:p>
        </w:tc>
      </w:tr>
      <w:tr w14:paraId="6C535B78">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3DA262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D1D3981">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ED4B6D">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109780E">
            <w:pPr>
              <w:jc w:val="center"/>
            </w:pPr>
            <w:r>
              <w:rPr>
                <w:rFonts w:ascii="宋体" w:hAnsi="宋体" w:eastAsia="宋体"/>
                <w:sz w:val="16"/>
              </w:rPr>
              <w:t>法学研究成果在基层实践运用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F195AB">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90A14E">
            <w:pPr>
              <w:jc w:val="center"/>
            </w:pPr>
            <w:r>
              <w:rPr>
                <w:rFonts w:ascii="宋体" w:hAnsi="宋体" w:eastAsia="宋体"/>
                <w:sz w:val="16"/>
              </w:rPr>
              <w:t>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885B1E">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436D7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0D3A9D0">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FB5760">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255D4A">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A25FF4">
            <w:pPr>
              <w:jc w:val="center"/>
            </w:pPr>
            <w:r>
              <w:rPr>
                <w:rFonts w:ascii="宋体" w:hAnsi="宋体" w:eastAsia="宋体"/>
                <w:sz w:val="16"/>
              </w:rPr>
              <w:t>直接赋分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EDF147">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739FF6">
            <w:pPr>
              <w:jc w:val="center"/>
            </w:pPr>
          </w:p>
        </w:tc>
      </w:tr>
      <w:tr w14:paraId="4D61B3B9">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C57A4A0">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238258A">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14C6D9D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7BB0F6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54F159C"/>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243A781">
            <w:pPr>
              <w:jc w:val="center"/>
            </w:pPr>
            <w:r>
              <w:rPr>
                <w:rFonts w:ascii="宋体" w:hAnsi="宋体" w:eastAsia="宋体"/>
                <w:sz w:val="16"/>
              </w:rPr>
              <w:t>100.00分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0F44184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22A3A9CA"/>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82E1708"/>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A5A7AC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A8C6B8B"/>
        </w:tc>
      </w:tr>
    </w:tbl>
    <w:p w14:paraId="62C6314B">
      <w:r>
        <w:br w:type="page"/>
      </w:r>
    </w:p>
    <w:tbl>
      <w:tblPr>
        <w:tblStyle w:val="9"/>
        <w:tblW w:w="0" w:type="auto"/>
        <w:tblInd w:w="0" w:type="dxa"/>
        <w:tblLayout w:type="autofit"/>
        <w:tblCellMar>
          <w:top w:w="0" w:type="dxa"/>
          <w:left w:w="108" w:type="dxa"/>
          <w:bottom w:w="0" w:type="dxa"/>
          <w:right w:w="108" w:type="dxa"/>
        </w:tblCellMar>
      </w:tblPr>
      <w:tblGrid>
        <w:gridCol w:w="619"/>
        <w:gridCol w:w="600"/>
        <w:gridCol w:w="600"/>
        <w:gridCol w:w="856"/>
        <w:gridCol w:w="610"/>
        <w:gridCol w:w="776"/>
        <w:gridCol w:w="696"/>
        <w:gridCol w:w="620"/>
        <w:gridCol w:w="630"/>
        <w:gridCol w:w="600"/>
        <w:gridCol w:w="620"/>
        <w:gridCol w:w="602"/>
        <w:gridCol w:w="601"/>
        <w:gridCol w:w="630"/>
      </w:tblGrid>
      <w:tr w14:paraId="7FD9297B">
        <w:tblPrEx>
          <w:tblCellMar>
            <w:top w:w="0" w:type="dxa"/>
            <w:left w:w="108" w:type="dxa"/>
            <w:bottom w:w="0" w:type="dxa"/>
            <w:right w:w="108" w:type="dxa"/>
          </w:tblCellMar>
        </w:tblPrEx>
        <w:tc>
          <w:tcPr>
            <w:tcW w:w="8848" w:type="dxa"/>
            <w:gridSpan w:val="14"/>
            <w:vAlign w:val="center"/>
          </w:tcPr>
          <w:p w14:paraId="072F664E">
            <w:pPr>
              <w:jc w:val="center"/>
            </w:pPr>
            <w:r>
              <w:rPr>
                <w:rFonts w:ascii="宋体" w:hAnsi="宋体" w:eastAsia="宋体"/>
                <w:sz w:val="24"/>
              </w:rPr>
              <w:t>项目支出绩效自评表</w:t>
            </w:r>
          </w:p>
        </w:tc>
      </w:tr>
      <w:tr w14:paraId="43CF331E">
        <w:tblPrEx>
          <w:tblCellMar>
            <w:top w:w="0" w:type="dxa"/>
            <w:left w:w="108" w:type="dxa"/>
            <w:bottom w:w="0" w:type="dxa"/>
            <w:right w:w="108" w:type="dxa"/>
          </w:tblCellMar>
        </w:tblPrEx>
        <w:tc>
          <w:tcPr>
            <w:tcW w:w="8848"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82FE964">
            <w:pPr>
              <w:jc w:val="center"/>
            </w:pPr>
            <w:r>
              <w:rPr>
                <w:rFonts w:ascii="宋体" w:hAnsi="宋体" w:eastAsia="宋体"/>
                <w:sz w:val="24"/>
              </w:rPr>
              <w:t>(2024年度)</w:t>
            </w:r>
          </w:p>
        </w:tc>
      </w:tr>
      <w:tr w14:paraId="2FE75DC4">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FF499E8">
            <w:pPr>
              <w:jc w:val="center"/>
            </w:pPr>
            <w:r>
              <w:rPr>
                <w:rFonts w:ascii="宋体" w:hAnsi="宋体" w:eastAsia="宋体"/>
                <w:sz w:val="16"/>
              </w:rPr>
              <w:t>项目名称</w:t>
            </w:r>
          </w:p>
        </w:tc>
        <w:tc>
          <w:tcPr>
            <w:tcW w:w="821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2E5759F1">
            <w:pPr>
              <w:jc w:val="center"/>
            </w:pPr>
            <w:r>
              <w:rPr>
                <w:rFonts w:ascii="宋体" w:hAnsi="宋体" w:eastAsia="宋体"/>
                <w:sz w:val="16"/>
              </w:rPr>
              <w:t>机关运行补助经费（单位资金）</w:t>
            </w:r>
          </w:p>
        </w:tc>
      </w:tr>
      <w:tr w14:paraId="2E82FA4E">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24A368">
            <w:pPr>
              <w:jc w:val="center"/>
            </w:pPr>
            <w:r>
              <w:rPr>
                <w:rFonts w:ascii="宋体" w:hAnsi="宋体" w:eastAsia="宋体"/>
                <w:sz w:val="16"/>
              </w:rPr>
              <w:t>主管部门</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82C27F2">
            <w:pPr>
              <w:jc w:val="center"/>
            </w:pPr>
            <w:r>
              <w:rPr>
                <w:rFonts w:ascii="宋体" w:hAnsi="宋体" w:eastAsia="宋体"/>
                <w:sz w:val="16"/>
              </w:rPr>
              <w:t>昌吉回族自治州法学会</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083F00">
            <w:pPr>
              <w:jc w:val="center"/>
            </w:pPr>
            <w:r>
              <w:rPr>
                <w:rFonts w:ascii="宋体" w:hAnsi="宋体" w:eastAsia="宋体"/>
                <w:sz w:val="16"/>
              </w:rPr>
              <w:t>实施单位</w:t>
            </w:r>
          </w:p>
        </w:tc>
        <w:tc>
          <w:tcPr>
            <w:tcW w:w="316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D9A5E87">
            <w:pPr>
              <w:jc w:val="center"/>
            </w:pPr>
            <w:r>
              <w:rPr>
                <w:rFonts w:ascii="宋体" w:hAnsi="宋体" w:eastAsia="宋体"/>
                <w:sz w:val="16"/>
              </w:rPr>
              <w:t>昌吉回族自治州法学会</w:t>
            </w:r>
          </w:p>
        </w:tc>
      </w:tr>
      <w:tr w14:paraId="7F1877D0">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8DACEF">
            <w:pPr>
              <w:jc w:val="center"/>
            </w:pPr>
            <w:r>
              <w:rPr>
                <w:rFonts w:ascii="宋体" w:hAnsi="宋体" w:eastAsia="宋体"/>
                <w:sz w:val="16"/>
              </w:rPr>
              <w:t>项目资金（万元）</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D431F2">
            <w:pPr>
              <w:jc w:val="center"/>
            </w:pP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24B7DB">
            <w:pPr>
              <w:jc w:val="center"/>
            </w:pPr>
            <w:r>
              <w:rPr>
                <w:rFonts w:ascii="宋体" w:hAnsi="宋体" w:eastAsia="宋体"/>
                <w:sz w:val="16"/>
              </w:rPr>
              <w:t>年初预算数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27F0B5">
            <w:pPr>
              <w:jc w:val="center"/>
            </w:pPr>
            <w:r>
              <w:rPr>
                <w:rFonts w:ascii="宋体" w:hAnsi="宋体" w:eastAsia="宋体"/>
                <w:sz w:val="16"/>
              </w:rPr>
              <w:t>全年预算数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272478">
            <w:pPr>
              <w:jc w:val="center"/>
            </w:pPr>
            <w:r>
              <w:rPr>
                <w:rFonts w:ascii="宋体" w:hAnsi="宋体" w:eastAsia="宋体"/>
                <w:sz w:val="16"/>
              </w:rPr>
              <w:t>全年执行数</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205297">
            <w:pPr>
              <w:jc w:val="center"/>
            </w:pPr>
            <w:r>
              <w:rPr>
                <w:rFonts w:ascii="宋体" w:hAnsi="宋体" w:eastAsia="宋体"/>
                <w:sz w:val="16"/>
              </w:rPr>
              <w:t>分值</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9D2C8D">
            <w:pPr>
              <w:jc w:val="center"/>
            </w:pPr>
            <w:r>
              <w:rPr>
                <w:rFonts w:ascii="宋体" w:hAnsi="宋体" w:eastAsia="宋体"/>
                <w:sz w:val="16"/>
              </w:rPr>
              <w:t>执行率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5BD149">
            <w:pPr>
              <w:jc w:val="center"/>
            </w:pPr>
            <w:r>
              <w:rPr>
                <w:rFonts w:ascii="宋体" w:hAnsi="宋体" w:eastAsia="宋体"/>
                <w:sz w:val="16"/>
              </w:rPr>
              <w:t>得分</w:t>
            </w:r>
          </w:p>
        </w:tc>
      </w:tr>
      <w:tr w14:paraId="17B6EB9E">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E6DB555"/>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CE6628">
            <w:pPr>
              <w:jc w:val="center"/>
            </w:pPr>
            <w:r>
              <w:rPr>
                <w:rFonts w:ascii="宋体" w:hAnsi="宋体" w:eastAsia="宋体"/>
                <w:sz w:val="16"/>
              </w:rPr>
              <w:t>年度资金总额</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350FBC">
            <w:pPr>
              <w:jc w:val="center"/>
            </w:pPr>
            <w:r>
              <w:rPr>
                <w:rFonts w:ascii="宋体" w:hAnsi="宋体" w:eastAsia="宋体"/>
                <w:sz w:val="16"/>
              </w:rPr>
              <w:t>60.00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7019C7">
            <w:pPr>
              <w:jc w:val="center"/>
            </w:pPr>
            <w:r>
              <w:rPr>
                <w:rFonts w:ascii="宋体" w:hAnsi="宋体" w:eastAsia="宋体"/>
                <w:sz w:val="16"/>
              </w:rPr>
              <w:t>14.18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425888">
            <w:pPr>
              <w:jc w:val="center"/>
            </w:pPr>
            <w:r>
              <w:rPr>
                <w:rFonts w:ascii="宋体" w:hAnsi="宋体" w:eastAsia="宋体"/>
                <w:sz w:val="16"/>
              </w:rPr>
              <w:t>14.18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55C8AA">
            <w:pPr>
              <w:jc w:val="center"/>
            </w:pPr>
            <w:r>
              <w:rPr>
                <w:rFonts w:ascii="宋体" w:hAnsi="宋体" w:eastAsia="宋体"/>
                <w:sz w:val="16"/>
              </w:rPr>
              <w:t>10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3089F5">
            <w:pPr>
              <w:jc w:val="center"/>
            </w:pPr>
            <w:r>
              <w:rPr>
                <w:rFonts w:ascii="宋体" w:hAnsi="宋体" w:eastAsia="宋体"/>
                <w:sz w:val="16"/>
              </w:rPr>
              <w:t>100.00%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9851F3">
            <w:pPr>
              <w:jc w:val="center"/>
            </w:pPr>
            <w:r>
              <w:rPr>
                <w:rFonts w:ascii="宋体" w:hAnsi="宋体" w:eastAsia="宋体"/>
                <w:sz w:val="16"/>
              </w:rPr>
              <w:t>10.00</w:t>
            </w:r>
          </w:p>
        </w:tc>
      </w:tr>
      <w:tr w14:paraId="23EE5E7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EC8FF3F"/>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FA8D6B">
            <w:pPr>
              <w:jc w:val="center"/>
            </w:pPr>
            <w:r>
              <w:rPr>
                <w:rFonts w:ascii="宋体" w:hAnsi="宋体" w:eastAsia="宋体"/>
                <w:sz w:val="16"/>
              </w:rPr>
              <w:t>其中：当年财政拨款</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D732D56">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886E37">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65EDBF">
            <w:pPr>
              <w:jc w:val="center"/>
            </w:pPr>
            <w:r>
              <w:rPr>
                <w:rFonts w:ascii="宋体" w:hAnsi="宋体" w:eastAsia="宋体"/>
                <w:sz w:val="16"/>
              </w:rPr>
              <w:t>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40D3DE">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2D3095">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527FAC">
            <w:pPr>
              <w:jc w:val="center"/>
            </w:pPr>
            <w:r>
              <w:rPr>
                <w:rFonts w:ascii="宋体" w:hAnsi="宋体" w:eastAsia="宋体"/>
                <w:sz w:val="16"/>
              </w:rPr>
              <w:t>—</w:t>
            </w:r>
          </w:p>
        </w:tc>
      </w:tr>
      <w:tr w14:paraId="4CCF4D8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90032F8"/>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7D0B32">
            <w:pPr>
              <w:jc w:val="center"/>
            </w:pPr>
            <w:r>
              <w:rPr>
                <w:rFonts w:ascii="宋体" w:hAnsi="宋体" w:eastAsia="宋体"/>
                <w:sz w:val="16"/>
              </w:rPr>
              <w:t xml:space="preserve">  其他资金</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951CA1">
            <w:pPr>
              <w:jc w:val="center"/>
            </w:pPr>
            <w:r>
              <w:rPr>
                <w:rFonts w:ascii="宋体" w:hAnsi="宋体" w:eastAsia="宋体"/>
                <w:sz w:val="16"/>
              </w:rPr>
              <w:t>60.00</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7D44F8">
            <w:pPr>
              <w:jc w:val="center"/>
            </w:pPr>
            <w:r>
              <w:rPr>
                <w:rFonts w:ascii="宋体" w:hAnsi="宋体" w:eastAsia="宋体"/>
                <w:sz w:val="16"/>
              </w:rPr>
              <w:t>14.18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8F5D9B">
            <w:pPr>
              <w:jc w:val="center"/>
            </w:pPr>
            <w:r>
              <w:rPr>
                <w:rFonts w:ascii="宋体" w:hAnsi="宋体" w:eastAsia="宋体"/>
                <w:sz w:val="16"/>
              </w:rPr>
              <w:t>14.18</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7758AD">
            <w:pPr>
              <w:jc w:val="center"/>
            </w:pPr>
            <w:r>
              <w:rPr>
                <w:rFonts w:ascii="宋体" w:hAnsi="宋体" w:eastAsia="宋体"/>
                <w:sz w:val="16"/>
              </w:rPr>
              <w:t>—</w:t>
            </w:r>
          </w:p>
        </w:tc>
        <w:tc>
          <w:tcPr>
            <w:tcW w:w="126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A28914">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E13AD6">
            <w:pPr>
              <w:jc w:val="center"/>
            </w:pPr>
            <w:r>
              <w:rPr>
                <w:rFonts w:ascii="宋体" w:hAnsi="宋体" w:eastAsia="宋体"/>
                <w:sz w:val="16"/>
              </w:rPr>
              <w:t>—</w:t>
            </w:r>
          </w:p>
        </w:tc>
      </w:tr>
      <w:tr w14:paraId="679A36DB">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37EE45">
            <w:pPr>
              <w:jc w:val="center"/>
            </w:pPr>
            <w:r>
              <w:rPr>
                <w:rFonts w:ascii="宋体" w:hAnsi="宋体" w:eastAsia="宋体"/>
                <w:sz w:val="16"/>
              </w:rPr>
              <w:t>年度总体目标</w:t>
            </w:r>
          </w:p>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BF57639">
            <w:pPr>
              <w:jc w:val="center"/>
            </w:pPr>
            <w:r>
              <w:rPr>
                <w:rFonts w:ascii="宋体" w:hAnsi="宋体" w:eastAsia="宋体"/>
                <w:sz w:val="16"/>
              </w:rPr>
              <w:t>预期目标</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1B559DF">
            <w:pPr>
              <w:jc w:val="center"/>
            </w:pPr>
            <w:r>
              <w:rPr>
                <w:rFonts w:ascii="宋体" w:hAnsi="宋体" w:eastAsia="宋体"/>
                <w:sz w:val="16"/>
              </w:rPr>
              <w:t>实际完成情况</w:t>
            </w:r>
          </w:p>
        </w:tc>
      </w:tr>
      <w:tr w14:paraId="379C466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54EAE67"/>
        </w:tc>
        <w:tc>
          <w:tcPr>
            <w:tcW w:w="442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C91C3F3">
            <w:pPr>
              <w:jc w:val="both"/>
            </w:pPr>
            <w:r>
              <w:rPr>
                <w:rFonts w:ascii="宋体" w:hAnsi="宋体" w:eastAsia="宋体"/>
                <w:sz w:val="16"/>
              </w:rPr>
              <w:t>举办“昌吉州青年普法志愿者法治文化基层行活动”“百名法学家百场报告会”活动1次；组织开展全州法学会会员培训班1（期）；推进县市首席法律咨询专家制度试点工作（个）≥1个。</w:t>
            </w:r>
          </w:p>
        </w:tc>
        <w:tc>
          <w:tcPr>
            <w:tcW w:w="3792"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0968749">
            <w:pPr>
              <w:jc w:val="both"/>
            </w:pPr>
            <w:r>
              <w:rPr>
                <w:rFonts w:hint="eastAsia" w:ascii="宋体" w:hAnsi="宋体"/>
                <w:sz w:val="16"/>
                <w:lang w:eastAsia="zh-CN"/>
              </w:rPr>
              <w:t>截至2024</w:t>
            </w:r>
            <w:r>
              <w:rPr>
                <w:rFonts w:ascii="宋体" w:hAnsi="宋体" w:eastAsia="宋体"/>
                <w:sz w:val="16"/>
              </w:rPr>
              <w:t>年12月31日，该项目实际完成了举办“昌吉州青年普法志愿者法治文化基层行”活动、“百名法学家百场报告会”活动各1次，深入推进县市首席法律咨询专家制度试点工作1个，推动了州、县两级将首席法律咨询专家工作和法学会基层服务站点建设列入平安建设考评体系，作为县市法学会年度考评重点，推动各级主要领导高度重视，及时研究解决工作推进中的堵点、难点问题，提高了法学研究成果在基层实践的运用，提升了法学会队伍建设水平。</w:t>
            </w:r>
          </w:p>
        </w:tc>
      </w:tr>
      <w:tr w14:paraId="2CF5624B">
        <w:tblPrEx>
          <w:tblCellMar>
            <w:top w:w="0" w:type="dxa"/>
            <w:left w:w="108" w:type="dxa"/>
            <w:bottom w:w="0" w:type="dxa"/>
            <w:right w:w="108" w:type="dxa"/>
          </w:tblCellMar>
        </w:tblPrEx>
        <w:tc>
          <w:tcPr>
            <w:tcW w:w="632" w:type="dxa"/>
            <w:tcBorders>
              <w:top w:val="single" w:color="auto" w:sz="10" w:space="0"/>
              <w:left w:val="single" w:color="auto" w:sz="10" w:space="0"/>
              <w:bottom w:val="single" w:color="auto" w:sz="10" w:space="0"/>
              <w:right w:val="single" w:color="auto" w:sz="10" w:space="0"/>
              <w:insideV w:val="single" w:sz="10" w:space="0"/>
            </w:tcBorders>
          </w:tcPr>
          <w:p w14:paraId="45602252"/>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E6A5FD">
            <w:pPr>
              <w:jc w:val="center"/>
            </w:pPr>
            <w:r>
              <w:rPr>
                <w:rFonts w:ascii="宋体" w:hAnsi="宋体" w:eastAsia="宋体"/>
                <w:sz w:val="16"/>
              </w:rPr>
              <w:t>一级指标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0B67C6A">
            <w:pPr>
              <w:jc w:val="center"/>
            </w:pPr>
            <w:r>
              <w:rPr>
                <w:rFonts w:ascii="宋体" w:hAnsi="宋体" w:eastAsia="宋体"/>
                <w:sz w:val="16"/>
              </w:rPr>
              <w:t>二级指标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943B859">
            <w:pPr>
              <w:jc w:val="center"/>
            </w:pPr>
            <w:r>
              <w:rPr>
                <w:rFonts w:ascii="宋体" w:hAnsi="宋体" w:eastAsia="宋体"/>
                <w:sz w:val="16"/>
              </w:rPr>
              <w:t>三级指标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C3B56E">
            <w:pPr>
              <w:jc w:val="center"/>
            </w:pPr>
            <w:r>
              <w:rPr>
                <w:rFonts w:ascii="宋体" w:hAnsi="宋体" w:eastAsia="宋体"/>
                <w:sz w:val="16"/>
              </w:rPr>
              <w:t>权重</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FC4A199">
            <w:pPr>
              <w:jc w:val="center"/>
            </w:pPr>
            <w:r>
              <w:rPr>
                <w:rFonts w:ascii="宋体" w:hAnsi="宋体" w:eastAsia="宋体"/>
                <w:sz w:val="16"/>
              </w:rPr>
              <w:t>目标值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B977603">
            <w:pPr>
              <w:jc w:val="center"/>
            </w:pPr>
            <w:r>
              <w:rPr>
                <w:rFonts w:ascii="宋体" w:hAnsi="宋体" w:eastAsia="宋体"/>
                <w:sz w:val="16"/>
              </w:rPr>
              <w:t>业绩值</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EDB5F39">
            <w:pPr>
              <w:jc w:val="center"/>
            </w:pPr>
            <w:r>
              <w:rPr>
                <w:rFonts w:ascii="宋体" w:hAnsi="宋体" w:eastAsia="宋体"/>
                <w:sz w:val="16"/>
              </w:rPr>
              <w:t>完成率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99C35B9">
            <w:pPr>
              <w:jc w:val="center"/>
            </w:pPr>
            <w:r>
              <w:rPr>
                <w:rFonts w:ascii="宋体" w:hAnsi="宋体" w:eastAsia="宋体"/>
                <w:sz w:val="16"/>
              </w:rPr>
              <w:t>指标得分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99EC836">
            <w:pPr>
              <w:jc w:val="center"/>
            </w:pPr>
            <w:r>
              <w:rPr>
                <w:rFonts w:ascii="宋体" w:hAnsi="宋体" w:eastAsia="宋体"/>
                <w:sz w:val="16"/>
              </w:rPr>
              <w:t>指标值设定依据</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AFA55B">
            <w:pPr>
              <w:jc w:val="center"/>
            </w:pPr>
            <w:r>
              <w:rPr>
                <w:rFonts w:ascii="宋体" w:hAnsi="宋体" w:eastAsia="宋体"/>
                <w:sz w:val="16"/>
              </w:rPr>
              <w:t>上年完成情况</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663B740">
            <w:pPr>
              <w:jc w:val="center"/>
            </w:pPr>
            <w:r>
              <w:rPr>
                <w:rFonts w:ascii="宋体" w:hAnsi="宋体" w:eastAsia="宋体"/>
                <w:sz w:val="16"/>
              </w:rPr>
              <w:t>赋分规则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4B0D86">
            <w:pPr>
              <w:jc w:val="center"/>
            </w:pPr>
            <w:r>
              <w:rPr>
                <w:rFonts w:ascii="宋体" w:hAnsi="宋体" w:eastAsia="宋体"/>
                <w:sz w:val="16"/>
              </w:rPr>
              <w:t>佐证资料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CD58B4F">
            <w:pPr>
              <w:jc w:val="center"/>
            </w:pPr>
            <w:r>
              <w:rPr>
                <w:rFonts w:ascii="宋体" w:hAnsi="宋体" w:eastAsia="宋体"/>
                <w:sz w:val="16"/>
              </w:rPr>
              <w:t>偏差原因分析及改进措施</w:t>
            </w:r>
          </w:p>
        </w:tc>
      </w:tr>
      <w:tr w14:paraId="686FB14C">
        <w:tblPrEx>
          <w:tblCellMar>
            <w:top w:w="0" w:type="dxa"/>
            <w:left w:w="108" w:type="dxa"/>
            <w:bottom w:w="0" w:type="dxa"/>
            <w:right w:w="108" w:type="dxa"/>
          </w:tblCellMar>
        </w:tblPrEx>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2D189B">
            <w:pPr>
              <w:jc w:val="center"/>
            </w:pPr>
            <w:r>
              <w:rPr>
                <w:rFonts w:ascii="宋体" w:hAnsi="宋体" w:eastAsia="宋体"/>
                <w:sz w:val="16"/>
              </w:rPr>
              <w:t>年度绩效指标完成情况</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7EB7BB">
            <w:pPr>
              <w:jc w:val="center"/>
            </w:pPr>
            <w:r>
              <w:rPr>
                <w:rFonts w:ascii="宋体" w:hAnsi="宋体" w:eastAsia="宋体"/>
                <w:sz w:val="16"/>
              </w:rPr>
              <w:t>产出指标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77B2F9">
            <w:pPr>
              <w:jc w:val="center"/>
            </w:pPr>
            <w:r>
              <w:rPr>
                <w:rFonts w:ascii="宋体" w:hAnsi="宋体" w:eastAsia="宋体"/>
                <w:sz w:val="16"/>
              </w:rPr>
              <w:t>数量指标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B354ED0">
            <w:pPr>
              <w:jc w:val="center"/>
            </w:pPr>
            <w:r>
              <w:rPr>
                <w:rFonts w:ascii="宋体" w:hAnsi="宋体" w:eastAsia="宋体"/>
                <w:sz w:val="16"/>
              </w:rPr>
              <w:t>举办“昌吉州青年普法志愿者法治文化基层行活动”“百名法学家百场报告会”活动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AE84C12">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5DF4C81">
            <w:pPr>
              <w:jc w:val="center"/>
            </w:pPr>
            <w:r>
              <w:rPr>
                <w:rFonts w:ascii="宋体" w:hAnsi="宋体" w:eastAsia="宋体"/>
                <w:sz w:val="16"/>
              </w:rPr>
              <w:t>&gt;=1次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17FB567">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14520C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8F0B28F">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501F17">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00C564C">
            <w:pPr>
              <w:jc w:val="center"/>
            </w:pPr>
            <w:r>
              <w:rPr>
                <w:rFonts w:ascii="宋体" w:hAnsi="宋体" w:eastAsia="宋体"/>
                <w:sz w:val="16"/>
              </w:rPr>
              <w:t>1次</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73CE8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92775AF">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8A49F4">
            <w:pPr>
              <w:jc w:val="center"/>
            </w:pPr>
          </w:p>
        </w:tc>
      </w:tr>
      <w:tr w14:paraId="139D4E8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208875CF"/>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FBCA125"/>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95944F1"/>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B8E375C">
            <w:pPr>
              <w:jc w:val="center"/>
            </w:pPr>
            <w:r>
              <w:rPr>
                <w:rFonts w:ascii="宋体" w:hAnsi="宋体" w:eastAsia="宋体"/>
                <w:sz w:val="16"/>
              </w:rPr>
              <w:t>组织开展全州法学会会员培训班（期）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AD416D">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8B517D">
            <w:pPr>
              <w:jc w:val="center"/>
            </w:pPr>
            <w:r>
              <w:rPr>
                <w:rFonts w:ascii="宋体" w:hAnsi="宋体" w:eastAsia="宋体"/>
                <w:sz w:val="16"/>
              </w:rPr>
              <w:t>&gt;=1期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4B331CE">
            <w:pPr>
              <w:jc w:val="center"/>
            </w:pPr>
            <w:r>
              <w:rPr>
                <w:rFonts w:ascii="宋体" w:hAnsi="宋体" w:eastAsia="宋体"/>
                <w:sz w:val="16"/>
              </w:rPr>
              <w:t>=0期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040D5A4">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494D1D">
            <w:pPr>
              <w:jc w:val="center"/>
            </w:pPr>
            <w:r>
              <w:rPr>
                <w:rFonts w:ascii="宋体" w:hAnsi="宋体" w:eastAsia="宋体"/>
                <w:sz w:val="16"/>
              </w:rPr>
              <w:t>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793677E">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F788137">
            <w:pPr>
              <w:jc w:val="center"/>
            </w:pPr>
            <w:r>
              <w:rPr>
                <w:rFonts w:ascii="宋体" w:hAnsi="宋体" w:eastAsia="宋体"/>
                <w:sz w:val="16"/>
              </w:rPr>
              <w:t>1期</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DECCE4A">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CF17052">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EF4EE7D">
            <w:pPr>
              <w:jc w:val="center"/>
            </w:pPr>
            <w:r>
              <w:rPr>
                <w:rFonts w:ascii="宋体" w:hAnsi="宋体" w:eastAsia="宋体"/>
                <w:sz w:val="16"/>
              </w:rPr>
              <w:t>因培训计划未通过援疆项目审批，无法开展工作。</w:t>
            </w:r>
          </w:p>
        </w:tc>
      </w:tr>
      <w:tr w14:paraId="013D33A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60861F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48F72DD"/>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601E648"/>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94E744">
            <w:pPr>
              <w:jc w:val="center"/>
            </w:pPr>
            <w:r>
              <w:rPr>
                <w:rFonts w:ascii="宋体" w:hAnsi="宋体" w:eastAsia="宋体"/>
                <w:sz w:val="16"/>
              </w:rPr>
              <w:t>推进县市首席法律咨询专家制度试点工作（个）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BFED9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376995B">
            <w:pPr>
              <w:jc w:val="center"/>
            </w:pPr>
            <w:r>
              <w:rPr>
                <w:rFonts w:ascii="宋体" w:hAnsi="宋体" w:eastAsia="宋体"/>
                <w:sz w:val="16"/>
              </w:rPr>
              <w:t>&gt;=1个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156737F">
            <w:pPr>
              <w:jc w:val="center"/>
            </w:pPr>
            <w:r>
              <w:rPr>
                <w:rFonts w:ascii="宋体" w:hAnsi="宋体" w:eastAsia="宋体"/>
                <w:sz w:val="16"/>
              </w:rPr>
              <w: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D5AFDB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28FFA4">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22F48B">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B30894">
            <w:pPr>
              <w:jc w:val="center"/>
            </w:pPr>
            <w:r>
              <w:rPr>
                <w:rFonts w:ascii="宋体" w:hAnsi="宋体" w:eastAsia="宋体"/>
                <w:sz w:val="16"/>
              </w:rPr>
              <w:t>1个</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FDCC204">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F6196D">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796334E">
            <w:pPr>
              <w:jc w:val="center"/>
            </w:pPr>
          </w:p>
        </w:tc>
      </w:tr>
      <w:tr w14:paraId="20046489">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7C18C214"/>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85E306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C829939">
            <w:pPr>
              <w:jc w:val="center"/>
            </w:pPr>
            <w:r>
              <w:rPr>
                <w:rFonts w:ascii="宋体" w:hAnsi="宋体" w:eastAsia="宋体"/>
                <w:sz w:val="16"/>
              </w:rPr>
              <w:t>质量指标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D0AB449">
            <w:pPr>
              <w:jc w:val="center"/>
            </w:pPr>
            <w:r>
              <w:rPr>
                <w:rFonts w:ascii="宋体" w:hAnsi="宋体" w:eastAsia="宋体"/>
                <w:sz w:val="16"/>
              </w:rPr>
              <w:t>对全州县市指导调研检查覆盖率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B2BF0B0">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2BA717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07B72D">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0082761">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5B3741A">
            <w:pPr>
              <w:jc w:val="center"/>
            </w:pPr>
            <w:r>
              <w:rPr>
                <w:rFonts w:ascii="宋体" w:hAnsi="宋体" w:eastAsia="宋体"/>
                <w:sz w:val="16"/>
              </w:rPr>
              <w:t>10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E139054">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6135343">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8B1184F">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FE0E41">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2103677">
            <w:pPr>
              <w:jc w:val="center"/>
            </w:pPr>
          </w:p>
        </w:tc>
      </w:tr>
      <w:tr w14:paraId="5A832CBC">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1F0EB56E"/>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E51620">
            <w:pPr>
              <w:jc w:val="center"/>
            </w:pPr>
            <w:r>
              <w:rPr>
                <w:rFonts w:ascii="宋体" w:hAnsi="宋体" w:eastAsia="宋体"/>
                <w:sz w:val="16"/>
              </w:rPr>
              <w:t>成本指标</w:t>
            </w:r>
          </w:p>
        </w:tc>
        <w:tc>
          <w:tcPr>
            <w:tcW w:w="63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F3ECC4">
            <w:pPr>
              <w:jc w:val="center"/>
            </w:pPr>
            <w:r>
              <w:rPr>
                <w:rFonts w:ascii="宋体" w:hAnsi="宋体" w:eastAsia="宋体"/>
                <w:sz w:val="16"/>
              </w:rPr>
              <w:t>经济成本指标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5671EBA">
            <w:pPr>
              <w:jc w:val="center"/>
            </w:pPr>
            <w:r>
              <w:rPr>
                <w:rFonts w:ascii="宋体" w:hAnsi="宋体" w:eastAsia="宋体"/>
                <w:sz w:val="16"/>
              </w:rPr>
              <w:t>宣传经费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9EB26FB">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60B3072">
            <w:pPr>
              <w:jc w:val="center"/>
            </w:pPr>
            <w:r>
              <w:rPr>
                <w:rFonts w:ascii="宋体" w:hAnsi="宋体" w:eastAsia="宋体"/>
                <w:sz w:val="16"/>
              </w:rPr>
              <w:t>&lt;=12.94万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F66C105">
            <w:pPr>
              <w:jc w:val="center"/>
            </w:pPr>
            <w:r>
              <w:rPr>
                <w:rFonts w:ascii="宋体" w:hAnsi="宋体" w:eastAsia="宋体"/>
                <w:sz w:val="16"/>
              </w:rPr>
              <w:t>=12.94</w:t>
            </w:r>
            <w:r>
              <w:rPr>
                <w:rFonts w:hint="eastAsia" w:ascii="宋体" w:hAnsi="宋体"/>
                <w:sz w:val="16"/>
                <w:lang w:eastAsia="zh-CN"/>
              </w:rPr>
              <w:t>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33FE07">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304E593">
            <w:pPr>
              <w:jc w:val="center"/>
            </w:pPr>
            <w:r>
              <w:rPr>
                <w:rFonts w:ascii="宋体" w:hAnsi="宋体" w:eastAsia="宋体"/>
                <w:sz w:val="16"/>
              </w:rPr>
              <w:t>15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D3746CC">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17C8BE">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ECAA699">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96CE2BE">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011281E">
            <w:pPr>
              <w:jc w:val="center"/>
            </w:pPr>
          </w:p>
        </w:tc>
      </w:tr>
      <w:tr w14:paraId="58C8E8E7">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35AEEE4E"/>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50849F50"/>
        </w:tc>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4D582BB6"/>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572C3118">
            <w:pPr>
              <w:jc w:val="center"/>
            </w:pPr>
            <w:r>
              <w:rPr>
                <w:rFonts w:ascii="宋体" w:hAnsi="宋体" w:eastAsia="宋体"/>
                <w:sz w:val="16"/>
              </w:rPr>
              <w:t>业务经费</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3A42B0E3">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07B7C1A">
            <w:pPr>
              <w:jc w:val="center"/>
            </w:pPr>
            <w:r>
              <w:rPr>
                <w:rFonts w:ascii="宋体" w:hAnsi="宋体" w:eastAsia="宋体"/>
                <w:sz w:val="16"/>
              </w:rPr>
              <w:t>&lt;=1.24万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AE2702">
            <w:pPr>
              <w:jc w:val="center"/>
            </w:pPr>
            <w:r>
              <w:rPr>
                <w:rFonts w:ascii="宋体" w:hAnsi="宋体" w:eastAsia="宋体"/>
                <w:sz w:val="16"/>
              </w:rPr>
              <w:t>=1.24</w:t>
            </w:r>
            <w:r>
              <w:rPr>
                <w:rFonts w:hint="eastAsia" w:ascii="宋体" w:hAnsi="宋体"/>
                <w:sz w:val="16"/>
                <w:lang w:eastAsia="zh-CN"/>
              </w:rPr>
              <w:t>万元</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3DC4F9F">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4B27990">
            <w:pPr>
              <w:jc w:val="center"/>
            </w:pPr>
            <w:r>
              <w:rPr>
                <w:rFonts w:ascii="宋体" w:hAnsi="宋体" w:eastAsia="宋体"/>
                <w:sz w:val="16"/>
              </w:rPr>
              <w:t>5</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ABBDB2">
            <w:pPr>
              <w:jc w:val="center"/>
            </w:pPr>
            <w:r>
              <w:rPr>
                <w:rFonts w:ascii="宋体" w:hAnsi="宋体" w:eastAsia="宋体"/>
                <w:sz w:val="16"/>
              </w:rPr>
              <w:t>预算支出标准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04C4F5C">
            <w:pPr>
              <w:jc w:val="center"/>
            </w:pPr>
            <w:r>
              <w:rPr>
                <w:rFonts w:ascii="宋体" w:hAnsi="宋体" w:eastAsia="宋体"/>
                <w:sz w:val="16"/>
              </w:rPr>
              <w:t>-</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3C7E30C">
            <w:pPr>
              <w:jc w:val="center"/>
            </w:pPr>
            <w:r>
              <w:rPr>
                <w:rFonts w:ascii="宋体" w:hAnsi="宋体" w:eastAsia="宋体"/>
                <w:sz w:val="16"/>
              </w:rPr>
              <w:t>按照完成比例赋分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AED4A92">
            <w:pPr>
              <w:jc w:val="center"/>
            </w:pPr>
            <w:r>
              <w:rPr>
                <w:rFonts w:ascii="宋体" w:hAnsi="宋体" w:eastAsia="宋体"/>
                <w:sz w:val="16"/>
              </w:rPr>
              <w:t>原始凭证</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26F2C7">
            <w:pPr>
              <w:jc w:val="center"/>
            </w:pPr>
          </w:p>
        </w:tc>
      </w:tr>
      <w:tr w14:paraId="15527201">
        <w:tblPrEx>
          <w:tblCellMar>
            <w:top w:w="0" w:type="dxa"/>
            <w:left w:w="108" w:type="dxa"/>
            <w:bottom w:w="0" w:type="dxa"/>
            <w:right w:w="108" w:type="dxa"/>
          </w:tblCellMar>
        </w:tblPrEx>
        <w:tc>
          <w:tcPr>
            <w:tcW w:w="632" w:type="dxa"/>
            <w:vMerge w:val="continue"/>
            <w:tcBorders>
              <w:top w:val="single" w:color="auto" w:sz="10" w:space="0"/>
              <w:left w:val="single" w:color="auto" w:sz="10" w:space="0"/>
              <w:bottom w:val="single" w:color="auto" w:sz="10" w:space="0"/>
              <w:right w:val="single" w:color="auto" w:sz="10" w:space="0"/>
              <w:insideV w:val="single" w:sz="10" w:space="0"/>
            </w:tcBorders>
          </w:tcPr>
          <w:p w14:paraId="65C1F4DE"/>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0B939FAF">
            <w:pPr>
              <w:jc w:val="center"/>
            </w:pPr>
            <w:r>
              <w:rPr>
                <w:rFonts w:ascii="宋体" w:hAnsi="宋体" w:eastAsia="宋体"/>
                <w:sz w:val="16"/>
              </w:rPr>
              <w:t>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5B2B8F">
            <w:pPr>
              <w:jc w:val="center"/>
            </w:pPr>
            <w:r>
              <w:rPr>
                <w:rFonts w:ascii="宋体" w:hAnsi="宋体" w:eastAsia="宋体"/>
                <w:sz w:val="16"/>
              </w:rPr>
              <w:t>社会效益指标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819EC5F">
            <w:pPr>
              <w:jc w:val="center"/>
            </w:pPr>
            <w:r>
              <w:rPr>
                <w:rFonts w:ascii="宋体" w:hAnsi="宋体" w:eastAsia="宋体"/>
                <w:sz w:val="16"/>
              </w:rPr>
              <w:t>法学研究成果在基层实践运用法学研究成果在基层实践运用</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29664B9">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1A1AEBD5">
            <w:pPr>
              <w:jc w:val="center"/>
            </w:pPr>
            <w:r>
              <w:rPr>
                <w:rFonts w:ascii="宋体" w:hAnsi="宋体" w:eastAsia="宋体"/>
                <w:sz w:val="16"/>
              </w:rPr>
              <w:t>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9C2114">
            <w:pPr>
              <w:jc w:val="center"/>
            </w:pPr>
            <w:r>
              <w:rPr>
                <w:rFonts w:ascii="宋体" w:hAnsi="宋体" w:eastAsia="宋体"/>
                <w:sz w:val="16"/>
              </w:rPr>
              <w:t>达到预期指标</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B75C4C0">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6ADF43C8">
            <w:pPr>
              <w:jc w:val="center"/>
            </w:pPr>
            <w:r>
              <w:rPr>
                <w:rFonts w:ascii="宋体" w:hAnsi="宋体" w:eastAsia="宋体"/>
                <w:sz w:val="16"/>
              </w:rPr>
              <w:t>30</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7824FE1">
            <w:pPr>
              <w:jc w:val="center"/>
            </w:pPr>
            <w:r>
              <w:rPr>
                <w:rFonts w:ascii="宋体" w:hAnsi="宋体" w:eastAsia="宋体"/>
                <w:sz w:val="16"/>
              </w:rPr>
              <w:t>历史标准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DA1026E">
            <w:pPr>
              <w:jc w:val="center"/>
            </w:pPr>
            <w:r>
              <w:rPr>
                <w:rFonts w:ascii="宋体" w:hAnsi="宋体" w:eastAsia="宋体"/>
                <w:sz w:val="16"/>
              </w:rPr>
              <w:t>提高</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27DDFCD">
            <w:pPr>
              <w:jc w:val="center"/>
            </w:pPr>
            <w:r>
              <w:rPr>
                <w:rFonts w:ascii="宋体" w:hAnsi="宋体" w:eastAsia="宋体"/>
                <w:sz w:val="16"/>
              </w:rPr>
              <w:t>按评判等级赋分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6D14520">
            <w:pPr>
              <w:jc w:val="center"/>
            </w:pPr>
            <w:r>
              <w:rPr>
                <w:rFonts w:ascii="宋体" w:hAnsi="宋体" w:eastAsia="宋体"/>
                <w:sz w:val="16"/>
              </w:rPr>
              <w:t>工作资料</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2EAED1DA">
            <w:pPr>
              <w:jc w:val="center"/>
            </w:pPr>
          </w:p>
        </w:tc>
      </w:tr>
      <w:tr w14:paraId="2114FEA5">
        <w:tblPrEx>
          <w:tblCellMar>
            <w:top w:w="0" w:type="dxa"/>
            <w:left w:w="108" w:type="dxa"/>
            <w:bottom w:w="0" w:type="dxa"/>
            <w:right w:w="108" w:type="dxa"/>
          </w:tblCellMar>
        </w:tblPrEx>
        <w:tc>
          <w:tcPr>
            <w:tcW w:w="252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85ECDDA">
            <w:pPr>
              <w:jc w:val="center"/>
            </w:pPr>
            <w:r>
              <w:rPr>
                <w:rFonts w:ascii="宋体" w:hAnsi="宋体" w:eastAsia="宋体"/>
                <w:sz w:val="16"/>
              </w:rPr>
              <w:t>总分</w:t>
            </w:r>
          </w:p>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46FD6169">
            <w:pPr>
              <w:jc w:val="center"/>
            </w:pPr>
            <w:r>
              <w:rPr>
                <w:rFonts w:ascii="宋体" w:hAnsi="宋体" w:eastAsia="宋体"/>
                <w:sz w:val="16"/>
              </w:rPr>
              <w:t>100</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45859914"/>
        </w:tc>
        <w:tc>
          <w:tcPr>
            <w:tcW w:w="632" w:type="dxa"/>
            <w:tcBorders>
              <w:top w:val="single" w:color="auto" w:sz="10" w:space="0"/>
              <w:left w:val="single" w:color="auto" w:sz="10" w:space="0"/>
              <w:bottom w:val="single" w:color="auto" w:sz="10" w:space="0"/>
              <w:right w:val="single" w:color="auto" w:sz="10" w:space="0"/>
              <w:insideV w:val="single" w:sz="10" w:space="0"/>
            </w:tcBorders>
          </w:tcPr>
          <w:p w14:paraId="54F72286"/>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EC6CAC0"/>
        </w:tc>
        <w:tc>
          <w:tcPr>
            <w:tcW w:w="632" w:type="dxa"/>
            <w:tcBorders>
              <w:top w:val="single" w:color="auto" w:sz="10" w:space="0"/>
              <w:left w:val="single" w:color="auto" w:sz="10" w:space="0"/>
              <w:bottom w:val="single" w:color="auto" w:sz="10" w:space="0"/>
              <w:right w:val="single" w:color="auto" w:sz="10" w:space="0"/>
              <w:insideV w:val="single" w:sz="10" w:space="0"/>
            </w:tcBorders>
            <w:vAlign w:val="center"/>
          </w:tcPr>
          <w:p w14:paraId="799FDB56">
            <w:pPr>
              <w:jc w:val="center"/>
            </w:pPr>
            <w:r>
              <w:rPr>
                <w:rFonts w:ascii="宋体" w:hAnsi="宋体" w:eastAsia="宋体"/>
                <w:sz w:val="16"/>
              </w:rPr>
              <w:t>90.00分</w:t>
            </w:r>
          </w:p>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1953AFE"/>
        </w:tc>
        <w:tc>
          <w:tcPr>
            <w:tcW w:w="632" w:type="dxa"/>
            <w:tcBorders>
              <w:top w:val="single" w:color="auto" w:sz="10" w:space="0"/>
              <w:left w:val="single" w:color="auto" w:sz="10" w:space="0"/>
              <w:bottom w:val="single" w:color="auto" w:sz="10" w:space="0"/>
              <w:right w:val="single" w:color="auto" w:sz="10" w:space="0"/>
              <w:insideV w:val="single" w:sz="10" w:space="0"/>
            </w:tcBorders>
          </w:tcPr>
          <w:p w14:paraId="78037A87"/>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29CD930"/>
        </w:tc>
        <w:tc>
          <w:tcPr>
            <w:tcW w:w="632" w:type="dxa"/>
            <w:tcBorders>
              <w:top w:val="single" w:color="auto" w:sz="10" w:space="0"/>
              <w:left w:val="single" w:color="auto" w:sz="10" w:space="0"/>
              <w:bottom w:val="single" w:color="auto" w:sz="10" w:space="0"/>
              <w:right w:val="single" w:color="auto" w:sz="10" w:space="0"/>
              <w:insideV w:val="single" w:sz="10" w:space="0"/>
            </w:tcBorders>
          </w:tcPr>
          <w:p w14:paraId="6516A4FF"/>
        </w:tc>
        <w:tc>
          <w:tcPr>
            <w:tcW w:w="632" w:type="dxa"/>
            <w:tcBorders>
              <w:top w:val="single" w:color="auto" w:sz="10" w:space="0"/>
              <w:left w:val="single" w:color="auto" w:sz="10" w:space="0"/>
              <w:bottom w:val="single" w:color="auto" w:sz="10" w:space="0"/>
              <w:right w:val="single" w:color="auto" w:sz="10" w:space="0"/>
              <w:insideV w:val="single" w:sz="10" w:space="0"/>
            </w:tcBorders>
          </w:tcPr>
          <w:p w14:paraId="3DF71630"/>
        </w:tc>
      </w:tr>
    </w:tbl>
    <w:p w14:paraId="6F990DBD">
      <w:r>
        <w:br w:type="page"/>
      </w:r>
    </w:p>
    <w:p w14:paraId="7295657A">
      <w:pPr>
        <w:spacing w:line="640" w:lineRule="exact"/>
        <w:ind w:firstLine="640"/>
        <w:jc w:val="both"/>
        <w:outlineLvl w:val="2"/>
      </w:pPr>
      <w:r>
        <w:rPr>
          <w:rFonts w:ascii="黑体" w:hAnsi="黑体" w:eastAsia="黑体"/>
          <w:sz w:val="32"/>
        </w:rPr>
        <w:t>十二、其他需说明的事项</w:t>
      </w:r>
    </w:p>
    <w:p w14:paraId="402B55D3">
      <w:pPr>
        <w:spacing w:line="580" w:lineRule="exact"/>
        <w:ind w:firstLine="640"/>
        <w:jc w:val="both"/>
      </w:pPr>
      <w:r>
        <w:rPr>
          <w:rFonts w:ascii="仿宋_GB2312" w:hAnsi="仿宋_GB2312" w:eastAsia="仿宋_GB2312"/>
          <w:b w:val="0"/>
          <w:sz w:val="32"/>
        </w:rPr>
        <w:t>本单位无其他需说明的事项。</w:t>
      </w:r>
    </w:p>
    <w:p w14:paraId="6F031446">
      <w:r>
        <w:br w:type="page"/>
      </w:r>
    </w:p>
    <w:p w14:paraId="42E60C81">
      <w:pPr>
        <w:spacing w:line="240" w:lineRule="auto"/>
        <w:jc w:val="center"/>
        <w:outlineLvl w:val="1"/>
      </w:pPr>
      <w:r>
        <w:rPr>
          <w:rFonts w:ascii="黑体" w:hAnsi="黑体" w:eastAsia="黑体"/>
          <w:sz w:val="32"/>
        </w:rPr>
        <w:t>第三部分 专业名词解释</w:t>
      </w:r>
    </w:p>
    <w:p w14:paraId="264BA051">
      <w:pPr>
        <w:spacing w:line="240" w:lineRule="auto"/>
        <w:ind w:firstLine="640"/>
        <w:jc w:val="both"/>
      </w:pPr>
      <w:r>
        <w:rPr>
          <w:rFonts w:ascii="仿宋_GB2312" w:hAnsi="仿宋_GB2312" w:eastAsia="仿宋_GB2312"/>
          <w:b/>
          <w:sz w:val="32"/>
        </w:rPr>
        <w:t>一、财政拨款收入：</w:t>
      </w:r>
      <w:r>
        <w:rPr>
          <w:rFonts w:ascii="仿宋_GB2312" w:hAnsi="仿宋_GB2312" w:eastAsia="仿宋_GB2312"/>
          <w:b w:val="0"/>
          <w:sz w:val="32"/>
        </w:rPr>
        <w:t>指同级财政当年拨付的资金。</w:t>
      </w:r>
    </w:p>
    <w:p w14:paraId="49CEC5F1">
      <w:pPr>
        <w:spacing w:line="240" w:lineRule="auto"/>
        <w:ind w:firstLine="640"/>
        <w:jc w:val="both"/>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38A9FDBD">
      <w:pPr>
        <w:spacing w:line="240" w:lineRule="auto"/>
        <w:ind w:firstLine="640"/>
        <w:jc w:val="both"/>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指事业单位开展专业业务活动及其辅助活动所取得的收入。</w:t>
      </w:r>
    </w:p>
    <w:p w14:paraId="372A1C95">
      <w:pPr>
        <w:spacing w:line="240" w:lineRule="auto"/>
        <w:ind w:firstLine="640"/>
        <w:jc w:val="both"/>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5C1DDB6B">
      <w:pPr>
        <w:spacing w:line="240" w:lineRule="auto"/>
        <w:ind w:firstLine="640"/>
        <w:jc w:val="both"/>
      </w:pPr>
      <w:r>
        <w:rPr>
          <w:rFonts w:ascii="仿宋_GB2312" w:hAnsi="仿宋_GB2312" w:eastAsia="仿宋_GB2312"/>
          <w:b/>
          <w:sz w:val="32"/>
        </w:rPr>
        <w:t>五、附属单位上缴收入：</w:t>
      </w:r>
      <w:r>
        <w:rPr>
          <w:rFonts w:ascii="仿宋_GB2312" w:hAnsi="仿宋_GB2312" w:eastAsia="仿宋_GB2312"/>
          <w:b w:val="0"/>
          <w:sz w:val="32"/>
        </w:rPr>
        <w:t>指事业单位附属的独立核算单位按有关规定上缴的收入。</w:t>
      </w:r>
    </w:p>
    <w:p w14:paraId="135D76EC">
      <w:pPr>
        <w:spacing w:line="240" w:lineRule="auto"/>
        <w:ind w:firstLine="640"/>
        <w:jc w:val="both"/>
      </w:pPr>
      <w:r>
        <w:rPr>
          <w:rFonts w:ascii="仿宋_GB2312" w:hAnsi="仿宋_GB2312" w:eastAsia="仿宋_GB2312"/>
          <w:b/>
          <w:sz w:val="32"/>
        </w:rPr>
        <w:t>六、其他收入：</w:t>
      </w:r>
      <w:r>
        <w:rPr>
          <w:rFonts w:ascii="仿宋_GB2312" w:hAnsi="仿宋_GB2312" w:eastAsia="仿宋_GB2312"/>
          <w:b w:val="0"/>
          <w:sz w:val="32"/>
        </w:rPr>
        <w:t>指除上述“财政拨款收入”、“事业收入”、“经营收入”、“附属单位上缴收入”等之外取得的收入。</w:t>
      </w:r>
    </w:p>
    <w:p w14:paraId="3B8F8FA1">
      <w:pPr>
        <w:spacing w:line="240" w:lineRule="auto"/>
        <w:ind w:firstLine="640"/>
        <w:jc w:val="both"/>
      </w:pPr>
      <w:r>
        <w:rPr>
          <w:rFonts w:ascii="仿宋_GB2312" w:hAnsi="仿宋_GB2312" w:eastAsia="仿宋_GB2312"/>
          <w:b/>
          <w:sz w:val="32"/>
        </w:rPr>
        <w:t>七、年初结转和结余：</w:t>
      </w:r>
      <w:r>
        <w:rPr>
          <w:rFonts w:ascii="仿宋_GB2312" w:hAnsi="仿宋_GB2312" w:eastAsia="仿宋_GB2312"/>
          <w:b w:val="0"/>
          <w:sz w:val="32"/>
        </w:rPr>
        <w:t>指以前年度支出预算因客观条件变化未执行完毕、结转到本年度按有关规定继续使用的资金，既包括财政拨款结转和结余，也包括事业收入、经营收入、其他收入的结转和结余。</w:t>
      </w:r>
    </w:p>
    <w:p w14:paraId="2DB2D1B4">
      <w:pPr>
        <w:spacing w:line="240" w:lineRule="auto"/>
        <w:ind w:firstLine="640"/>
        <w:jc w:val="both"/>
      </w:pPr>
      <w:r>
        <w:rPr>
          <w:rFonts w:ascii="仿宋_GB2312" w:hAnsi="仿宋_GB2312" w:eastAsia="仿宋_GB2312"/>
          <w:b/>
          <w:sz w:val="32"/>
        </w:rPr>
        <w:t>八、年末结转和结余：</w:t>
      </w:r>
      <w:r>
        <w:rPr>
          <w:rFonts w:ascii="仿宋_GB2312" w:hAnsi="仿宋_GB2312" w:eastAsia="仿宋_GB2312"/>
          <w:b w:val="0"/>
          <w:sz w:val="32"/>
        </w:rPr>
        <w:t>指本年度或以前年度预算安排、因客观条件发生变化无法按原计划实施，需要延迟到以后年度按有关规定继续使用的资金，既包括财政拨款结转和结余，也包括事业收入、经营收入、其他收入的结转和结余。</w:t>
      </w:r>
    </w:p>
    <w:p w14:paraId="57FC8D2F">
      <w:pPr>
        <w:spacing w:line="240" w:lineRule="auto"/>
        <w:ind w:firstLine="640"/>
        <w:jc w:val="both"/>
      </w:pPr>
      <w:r>
        <w:rPr>
          <w:rFonts w:ascii="仿宋_GB2312" w:hAnsi="仿宋_GB2312" w:eastAsia="仿宋_GB2312"/>
          <w:b/>
          <w:sz w:val="32"/>
        </w:rPr>
        <w:t>九、基本支出：</w:t>
      </w:r>
      <w:r>
        <w:rPr>
          <w:rFonts w:ascii="仿宋_GB2312" w:hAnsi="仿宋_GB2312" w:eastAsia="仿宋_GB2312"/>
          <w:b w:val="0"/>
          <w:sz w:val="32"/>
        </w:rPr>
        <w:t>指为保障机构正常运转、完成日常工作任务而发生的人员支出和公用支出。</w:t>
      </w:r>
    </w:p>
    <w:p w14:paraId="490232B0">
      <w:pPr>
        <w:spacing w:line="240" w:lineRule="auto"/>
        <w:ind w:firstLine="640"/>
        <w:jc w:val="both"/>
      </w:pPr>
      <w:r>
        <w:rPr>
          <w:rFonts w:ascii="仿宋_GB2312" w:hAnsi="仿宋_GB2312" w:eastAsia="仿宋_GB2312"/>
          <w:b/>
          <w:sz w:val="32"/>
        </w:rPr>
        <w:t>十、项目支出：</w:t>
      </w:r>
      <w:r>
        <w:rPr>
          <w:rFonts w:ascii="仿宋_GB2312" w:hAnsi="仿宋_GB2312" w:eastAsia="仿宋_GB2312"/>
          <w:b w:val="0"/>
          <w:sz w:val="32"/>
        </w:rPr>
        <w:t>指在基本支出之外为完成特定行政任务和事业发展目标所发生的支出。</w:t>
      </w:r>
    </w:p>
    <w:p w14:paraId="4B2E9839">
      <w:pPr>
        <w:spacing w:line="240" w:lineRule="auto"/>
        <w:ind w:firstLine="640"/>
        <w:jc w:val="both"/>
      </w:pPr>
      <w:r>
        <w:rPr>
          <w:rFonts w:ascii="仿宋_GB2312" w:hAnsi="仿宋_GB2312" w:eastAsia="仿宋_GB2312"/>
          <w:b/>
          <w:sz w:val="32"/>
        </w:rPr>
        <w:t>十一、经营支出：</w:t>
      </w:r>
      <w:r>
        <w:rPr>
          <w:rFonts w:ascii="仿宋_GB2312" w:hAnsi="仿宋_GB2312" w:eastAsia="仿宋_GB2312"/>
          <w:b w:val="0"/>
          <w:sz w:val="32"/>
        </w:rPr>
        <w:t>指事业单位在专业业务活动及其辅助活动之外开展非独立核算经营活动发生的支出。</w:t>
      </w:r>
    </w:p>
    <w:p w14:paraId="0733BECB">
      <w:pPr>
        <w:spacing w:line="240" w:lineRule="auto"/>
        <w:ind w:firstLine="640"/>
        <w:jc w:val="both"/>
      </w:pPr>
      <w:r>
        <w:rPr>
          <w:rFonts w:ascii="仿宋_GB2312" w:hAnsi="仿宋_GB2312" w:eastAsia="仿宋_GB2312"/>
          <w:b/>
          <w:sz w:val="32"/>
        </w:rPr>
        <w:t>十二、对附属单位补助支出：</w:t>
      </w:r>
      <w:r>
        <w:rPr>
          <w:rFonts w:ascii="仿宋_GB2312" w:hAnsi="仿宋_GB2312" w:eastAsia="仿宋_GB2312"/>
          <w:b w:val="0"/>
          <w:sz w:val="32"/>
        </w:rPr>
        <w:t>指事业单位发生的用非财政预算资金对附属单位的补助支出。</w:t>
      </w:r>
    </w:p>
    <w:p w14:paraId="241AEF07">
      <w:pPr>
        <w:spacing w:line="240" w:lineRule="auto"/>
        <w:ind w:firstLine="640"/>
        <w:jc w:val="both"/>
      </w:pPr>
      <w:r>
        <w:rPr>
          <w:rFonts w:ascii="仿宋_GB2312" w:hAnsi="仿宋_GB2312" w:eastAsia="仿宋_GB2312"/>
          <w:b/>
          <w:sz w:val="32"/>
        </w:rPr>
        <w:t>十三、“三公”经费：</w:t>
      </w:r>
      <w:r>
        <w:rPr>
          <w:rFonts w:ascii="仿宋_GB2312" w:hAnsi="仿宋_GB2312" w:eastAsia="仿宋_GB2312"/>
          <w:b w:val="0"/>
          <w:sz w:val="32"/>
        </w:rPr>
        <w:t>指用财政拨款安排的因公出国（境）费、公务用车购置及运行费和公务接待费。其中，因公出国（境）费反映单位公务出国（境）的国际旅费、国外城市间交通费、住宿费、伙食费、培训费、公杂费等支出；公务用车购置反映公务用车购置支出（含车辆购置税、牌照费）；公务用车运行维护费反映单位按规定保留的公务用车燃料费、维修费、过路过桥费、保险费、安全奖励费用等支出；公务接待费反映单位按规定开支的各类公务接待（含外宾接待）费用。</w:t>
      </w:r>
    </w:p>
    <w:p w14:paraId="6E625F99">
      <w:pPr>
        <w:spacing w:line="240" w:lineRule="auto"/>
        <w:ind w:firstLine="640"/>
        <w:jc w:val="both"/>
      </w:pPr>
      <w:r>
        <w:rPr>
          <w:rFonts w:ascii="仿宋_GB2312" w:hAnsi="仿宋_GB2312" w:eastAsia="仿宋_GB2312"/>
          <w:b/>
          <w:sz w:val="32"/>
        </w:rPr>
        <w:t>十四、机关运行经费：</w:t>
      </w:r>
      <w:r>
        <w:rPr>
          <w:rFonts w:ascii="仿宋_GB2312" w:hAnsi="仿宋_GB2312" w:eastAsia="仿宋_GB2312"/>
          <w:b w:val="0"/>
          <w:sz w:val="32"/>
        </w:rPr>
        <w:t>行政单位和参照公务员法管理的事业单位财政拨款基本支出中的公用经费支出。</w:t>
      </w:r>
    </w:p>
    <w:p w14:paraId="2AFB151B">
      <w:r>
        <w:br w:type="page"/>
      </w:r>
    </w:p>
    <w:p w14:paraId="4A99F814">
      <w:pPr>
        <w:spacing w:line="240" w:lineRule="auto"/>
        <w:jc w:val="center"/>
        <w:outlineLvl w:val="1"/>
      </w:pPr>
      <w:r>
        <w:rPr>
          <w:rFonts w:ascii="黑体" w:hAnsi="黑体" w:eastAsia="黑体"/>
          <w:sz w:val="32"/>
        </w:rPr>
        <w:t>第四部分 部门决算报表（见附表）</w:t>
      </w:r>
    </w:p>
    <w:p w14:paraId="4FDB9C26">
      <w:pPr>
        <w:spacing w:line="240" w:lineRule="auto"/>
        <w:ind w:firstLine="640"/>
        <w:jc w:val="both"/>
      </w:pPr>
      <w:r>
        <w:rPr>
          <w:rFonts w:ascii="仿宋_GB2312" w:hAnsi="仿宋_GB2312" w:eastAsia="仿宋_GB2312"/>
          <w:b w:val="0"/>
          <w:sz w:val="32"/>
        </w:rPr>
        <w:t>一、《收入支出决算总表》</w:t>
      </w:r>
    </w:p>
    <w:p w14:paraId="2C5A5590">
      <w:pPr>
        <w:spacing w:line="240" w:lineRule="auto"/>
        <w:ind w:firstLine="640"/>
        <w:jc w:val="both"/>
      </w:pPr>
      <w:r>
        <w:rPr>
          <w:rFonts w:ascii="仿宋_GB2312" w:hAnsi="仿宋_GB2312" w:eastAsia="仿宋_GB2312"/>
          <w:b w:val="0"/>
          <w:sz w:val="32"/>
        </w:rPr>
        <w:t>二、《收入决算表》</w:t>
      </w:r>
    </w:p>
    <w:p w14:paraId="5BBBE3CB">
      <w:pPr>
        <w:spacing w:line="240" w:lineRule="auto"/>
        <w:ind w:firstLine="640"/>
        <w:jc w:val="both"/>
      </w:pPr>
      <w:r>
        <w:rPr>
          <w:rFonts w:ascii="仿宋_GB2312" w:hAnsi="仿宋_GB2312" w:eastAsia="仿宋_GB2312"/>
          <w:b w:val="0"/>
          <w:sz w:val="32"/>
        </w:rPr>
        <w:t>三、《支出决算表》</w:t>
      </w:r>
    </w:p>
    <w:p w14:paraId="3A13620B">
      <w:pPr>
        <w:spacing w:line="240" w:lineRule="auto"/>
        <w:ind w:firstLine="640"/>
        <w:jc w:val="both"/>
      </w:pPr>
      <w:r>
        <w:rPr>
          <w:rFonts w:ascii="仿宋_GB2312" w:hAnsi="仿宋_GB2312" w:eastAsia="仿宋_GB2312"/>
          <w:b w:val="0"/>
          <w:sz w:val="32"/>
        </w:rPr>
        <w:t>四、《财政拨款收入支出决算总表》</w:t>
      </w:r>
    </w:p>
    <w:p w14:paraId="6CD073E1">
      <w:pPr>
        <w:spacing w:line="240" w:lineRule="auto"/>
        <w:ind w:firstLine="640"/>
        <w:jc w:val="both"/>
      </w:pPr>
      <w:r>
        <w:rPr>
          <w:rFonts w:ascii="仿宋_GB2312" w:hAnsi="仿宋_GB2312" w:eastAsia="仿宋_GB2312"/>
          <w:b w:val="0"/>
          <w:sz w:val="32"/>
        </w:rPr>
        <w:t>五、《一般公共预算财政拨款支出决算表》</w:t>
      </w:r>
    </w:p>
    <w:p w14:paraId="6C87BDB7">
      <w:pPr>
        <w:spacing w:line="240" w:lineRule="auto"/>
        <w:ind w:firstLine="640"/>
        <w:jc w:val="both"/>
      </w:pPr>
      <w:r>
        <w:rPr>
          <w:rFonts w:ascii="仿宋_GB2312" w:hAnsi="仿宋_GB2312" w:eastAsia="仿宋_GB2312"/>
          <w:b w:val="0"/>
          <w:sz w:val="32"/>
        </w:rPr>
        <w:t>六、《一般公共预算财政拨款基本支出决算表》</w:t>
      </w:r>
    </w:p>
    <w:p w14:paraId="3C7A5A17">
      <w:pPr>
        <w:spacing w:line="240" w:lineRule="auto"/>
        <w:ind w:firstLine="640"/>
        <w:jc w:val="both"/>
      </w:pPr>
      <w:r>
        <w:rPr>
          <w:rFonts w:ascii="仿宋_GB2312" w:hAnsi="仿宋_GB2312" w:eastAsia="仿宋_GB2312"/>
          <w:b w:val="0"/>
          <w:sz w:val="32"/>
        </w:rPr>
        <w:t>七、《政府性基金预算财政拨款收入支出决算表》</w:t>
      </w:r>
    </w:p>
    <w:p w14:paraId="01D489B2">
      <w:pPr>
        <w:spacing w:line="240" w:lineRule="auto"/>
        <w:ind w:firstLine="640"/>
        <w:jc w:val="both"/>
      </w:pPr>
      <w:r>
        <w:rPr>
          <w:rFonts w:ascii="仿宋_GB2312" w:hAnsi="仿宋_GB2312" w:eastAsia="仿宋_GB2312"/>
          <w:b w:val="0"/>
          <w:sz w:val="32"/>
        </w:rPr>
        <w:t>八、《国有资本经营预算财政拨款收入支出决算表》</w:t>
      </w:r>
    </w:p>
    <w:p w14:paraId="0FF02E74">
      <w:pPr>
        <w:spacing w:line="240" w:lineRule="auto"/>
        <w:ind w:firstLine="640"/>
        <w:jc w:val="both"/>
      </w:pPr>
      <w:r>
        <w:rPr>
          <w:rFonts w:ascii="仿宋_GB2312" w:hAnsi="仿宋_GB2312" w:eastAsia="仿宋_GB2312"/>
          <w:b w:val="0"/>
          <w:sz w:val="32"/>
        </w:rPr>
        <w:t>九、《财政拨款“三公”经费支出决算表》</w:t>
      </w:r>
    </w:p>
    <w:p w14:paraId="460DC5D8">
      <w:pPr>
        <w:spacing w:line="240" w:lineRule="auto"/>
        <w:ind w:firstLine="640"/>
        <w:jc w:val="both"/>
      </w:pPr>
    </w:p>
    <w:p w14:paraId="5C88DCA9">
      <w:pPr>
        <w:spacing w:line="240" w:lineRule="auto"/>
        <w:ind w:firstLine="640"/>
        <w:jc w:val="both"/>
      </w:pPr>
    </w:p>
    <w:p w14:paraId="0D127B51">
      <w:pPr>
        <w:spacing w:line="240" w:lineRule="auto"/>
        <w:ind w:firstLine="640"/>
        <w:jc w:val="both"/>
      </w:pPr>
    </w:p>
    <w:p w14:paraId="1A8BCC54">
      <w:pPr>
        <w:spacing w:line="240" w:lineRule="auto"/>
        <w:ind w:firstLine="640"/>
        <w:jc w:val="both"/>
      </w:pPr>
    </w:p>
    <w:p w14:paraId="2174837A">
      <w:pPr>
        <w:spacing w:line="240" w:lineRule="auto"/>
        <w:ind w:firstLine="640"/>
        <w:jc w:val="both"/>
      </w:pPr>
    </w:p>
    <w:sectPr>
      <w:footerReference r:id="rId3" w:type="default"/>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ED5985-13FF-4926-AAA9-F3D2852C11F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E7BE0D5F-63FA-4CD1-98EB-279F0712CA29}"/>
  </w:font>
  <w:font w:name="仿宋_GB2312">
    <w:altName w:val="仿宋"/>
    <w:panose1 w:val="02010609030101010101"/>
    <w:charset w:val="86"/>
    <w:family w:val="modern"/>
    <w:pitch w:val="default"/>
    <w:sig w:usb0="00000000" w:usb1="00000000" w:usb2="00000000" w:usb3="00000000" w:csb0="00040000" w:csb1="00000000"/>
    <w:embedRegular r:id="rId3" w:fontKey="{02EE42D5-3BF6-4F3C-AFB8-A2528F56284D}"/>
  </w:font>
  <w:font w:name="楷体_GB2312">
    <w:altName w:val="楷体"/>
    <w:panose1 w:val="00000000000000000000"/>
    <w:charset w:val="00"/>
    <w:family w:val="auto"/>
    <w:pitch w:val="default"/>
    <w:sig w:usb0="00000000" w:usb1="00000000" w:usb2="00000000" w:usb3="00000000" w:csb0="00000000" w:csb1="00000000"/>
    <w:embedRegular r:id="rId4" w:fontKey="{637DD0C4-046F-47BE-A2E7-C9466C0F9E15}"/>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F23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YmRmZTlkODBlYWI2MWEzOGMyNWRlOTFmY2QzMTQifQ=="/>
  </w:docVars>
  <w:rsids>
    <w:rsidRoot w:val="00000000"/>
    <w:rsid w:val="021B7195"/>
    <w:rsid w:val="02F73D26"/>
    <w:rsid w:val="034D4FEF"/>
    <w:rsid w:val="043E5B56"/>
    <w:rsid w:val="06792773"/>
    <w:rsid w:val="09A729D8"/>
    <w:rsid w:val="0A3C58E8"/>
    <w:rsid w:val="0A7B4867"/>
    <w:rsid w:val="0B8C3ECC"/>
    <w:rsid w:val="0C3613A3"/>
    <w:rsid w:val="0C7227A7"/>
    <w:rsid w:val="0DCA6EF7"/>
    <w:rsid w:val="0E4B1576"/>
    <w:rsid w:val="0EA04331"/>
    <w:rsid w:val="0F9811B3"/>
    <w:rsid w:val="11E15093"/>
    <w:rsid w:val="120E0809"/>
    <w:rsid w:val="19071D6C"/>
    <w:rsid w:val="19B5554D"/>
    <w:rsid w:val="1B8F2D19"/>
    <w:rsid w:val="1C317E4F"/>
    <w:rsid w:val="1C472464"/>
    <w:rsid w:val="1DAF458D"/>
    <w:rsid w:val="1E086ACE"/>
    <w:rsid w:val="1E4B5CA5"/>
    <w:rsid w:val="1EAA4A5F"/>
    <w:rsid w:val="1F587A0B"/>
    <w:rsid w:val="2064678E"/>
    <w:rsid w:val="20BC0B75"/>
    <w:rsid w:val="20DD6197"/>
    <w:rsid w:val="21F317F2"/>
    <w:rsid w:val="2241392C"/>
    <w:rsid w:val="23BC04D2"/>
    <w:rsid w:val="25275618"/>
    <w:rsid w:val="27CE017C"/>
    <w:rsid w:val="27CF2642"/>
    <w:rsid w:val="282459E2"/>
    <w:rsid w:val="29116777"/>
    <w:rsid w:val="2A053397"/>
    <w:rsid w:val="2A444FB1"/>
    <w:rsid w:val="2A6064E2"/>
    <w:rsid w:val="2C1965E9"/>
    <w:rsid w:val="2D1136DF"/>
    <w:rsid w:val="2DAE0E44"/>
    <w:rsid w:val="2FD27414"/>
    <w:rsid w:val="313F1D52"/>
    <w:rsid w:val="318029AB"/>
    <w:rsid w:val="31C63837"/>
    <w:rsid w:val="326F0A17"/>
    <w:rsid w:val="3277581B"/>
    <w:rsid w:val="38006E2C"/>
    <w:rsid w:val="3914510A"/>
    <w:rsid w:val="3B1220C9"/>
    <w:rsid w:val="3D5275AC"/>
    <w:rsid w:val="3EA7725F"/>
    <w:rsid w:val="3EC014A1"/>
    <w:rsid w:val="40834692"/>
    <w:rsid w:val="423A32B2"/>
    <w:rsid w:val="423C0CB4"/>
    <w:rsid w:val="427B5743"/>
    <w:rsid w:val="42E64542"/>
    <w:rsid w:val="464B7E04"/>
    <w:rsid w:val="464F7E64"/>
    <w:rsid w:val="46901EEE"/>
    <w:rsid w:val="469C74D2"/>
    <w:rsid w:val="47445515"/>
    <w:rsid w:val="4B4C0111"/>
    <w:rsid w:val="4BB23021"/>
    <w:rsid w:val="4F3F074E"/>
    <w:rsid w:val="50DB5F45"/>
    <w:rsid w:val="52F92565"/>
    <w:rsid w:val="543D17CB"/>
    <w:rsid w:val="55DA564E"/>
    <w:rsid w:val="56E07045"/>
    <w:rsid w:val="583059FA"/>
    <w:rsid w:val="587E6212"/>
    <w:rsid w:val="5AFC6609"/>
    <w:rsid w:val="5FA17648"/>
    <w:rsid w:val="5FD320BD"/>
    <w:rsid w:val="60DE4D57"/>
    <w:rsid w:val="613409CB"/>
    <w:rsid w:val="61A46A97"/>
    <w:rsid w:val="62DD7D21"/>
    <w:rsid w:val="65D97752"/>
    <w:rsid w:val="664C500C"/>
    <w:rsid w:val="67D111AB"/>
    <w:rsid w:val="68DB0208"/>
    <w:rsid w:val="68DF36D5"/>
    <w:rsid w:val="69846A0E"/>
    <w:rsid w:val="69AD798C"/>
    <w:rsid w:val="6B68175F"/>
    <w:rsid w:val="6B8B5C99"/>
    <w:rsid w:val="6CA7198F"/>
    <w:rsid w:val="6D8919A8"/>
    <w:rsid w:val="6E0F7A08"/>
    <w:rsid w:val="6E801ABC"/>
    <w:rsid w:val="71473612"/>
    <w:rsid w:val="718F7F65"/>
    <w:rsid w:val="73423603"/>
    <w:rsid w:val="737A5923"/>
    <w:rsid w:val="73DE4104"/>
    <w:rsid w:val="73FB6630"/>
    <w:rsid w:val="74CE04EC"/>
    <w:rsid w:val="74E76DCD"/>
    <w:rsid w:val="76510707"/>
    <w:rsid w:val="76660D7C"/>
    <w:rsid w:val="77ED6F44"/>
    <w:rsid w:val="795A0A34"/>
    <w:rsid w:val="7A0D3BC7"/>
    <w:rsid w:val="7A3A3CDB"/>
    <w:rsid w:val="7EDA62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11">
    <w:name w:val="WPSOffice手动目录 3"/>
    <w:qFormat/>
    <w:uiPriority w:val="0"/>
    <w:pPr>
      <w:ind w:leftChars="40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6360</Words>
  <Characters>7120</Characters>
  <Lines>0</Lines>
  <Paragraphs>0</Paragraphs>
  <TotalTime>0</TotalTime>
  <ScaleCrop>false</ScaleCrop>
  <LinksUpToDate>false</LinksUpToDate>
  <CharactersWithSpaces>7129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GXR</dc:creator>
  <cp:lastModifiedBy>小麦啾</cp:lastModifiedBy>
  <cp:lastPrinted>2024-07-22T11:58:00Z</cp:lastPrinted>
  <dcterms:modified xsi:type="dcterms:W3CDTF">2026-08-24T09:50:18Z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B858A68E913346F885B5BC17D4DBEB06_13</vt:lpwstr>
  </property>
  <property fmtid="{D5CDD505-2E9C-101B-9397-08002B2CF9AE}" pid="4" name="KSOTemplateDocerSaveRecord">
    <vt:lpwstr>eyJoZGlkIjoiZGZmMjg3MDQ2MzExNDk0OWY5M2UwNzBmOWViMDBkMGMiLCJ1c2VySWQiOiIzMjQ5NjUzODcifQ==</vt:lpwstr>
  </property>
</Properties>
</file>