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9B7B76">
      <w:pPr>
        <w:keepNext w:val="0"/>
        <w:keepLines w:val="0"/>
        <w:pageBreakBefore w:val="0"/>
        <w:widowControl w:val="0"/>
        <w:kinsoku/>
        <w:wordWrap/>
        <w:overflowPunct/>
        <w:topLinePunct w:val="0"/>
        <w:bidi w:val="0"/>
        <w:adjustRightInd/>
        <w:snapToGrid/>
        <w:spacing w:line="240" w:lineRule="auto"/>
        <w:textAlignment w:val="auto"/>
        <w:rPr>
          <w:rFonts w:hint="default" w:ascii="黑体" w:hAnsi="黑体" w:eastAsia="黑体"/>
          <w:sz w:val="32"/>
          <w:szCs w:val="32"/>
          <w:highlight w:val="none"/>
          <w:lang w:val="en-US" w:eastAsia="zh-CN"/>
        </w:rPr>
      </w:pPr>
      <w:bookmarkStart w:id="0" w:name="_GoBack"/>
      <w:bookmarkEnd w:id="0"/>
    </w:p>
    <w:p w14:paraId="0FEDF7D7">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59D1D77C">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46360471">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37E3997B">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4DACF2E4">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宋体" w:eastAsia="方正小标宋_GBK"/>
          <w:sz w:val="44"/>
          <w:szCs w:val="44"/>
          <w:highlight w:val="none"/>
        </w:rPr>
      </w:pPr>
      <w:r>
        <w:rPr>
          <w:rFonts w:hint="eastAsia" w:ascii="方正小标宋_GBK" w:hAnsi="宋体" w:eastAsia="方正小标宋_GBK"/>
          <w:sz w:val="44"/>
          <w:szCs w:val="44"/>
          <w:highlight w:val="none"/>
          <w:lang w:val="en-US" w:eastAsia="zh-CN"/>
        </w:rPr>
        <w:t>呼图壁县人民检察院2024</w:t>
      </w:r>
      <w:r>
        <w:rPr>
          <w:rFonts w:hint="eastAsia" w:ascii="方正小标宋_GBK" w:hAnsi="宋体" w:eastAsia="方正小标宋_GBK"/>
          <w:sz w:val="44"/>
          <w:szCs w:val="44"/>
          <w:highlight w:val="none"/>
          <w:lang w:eastAsia="zh-CN"/>
        </w:rPr>
        <w:t>年度</w:t>
      </w:r>
      <w:r>
        <w:rPr>
          <w:rFonts w:hint="eastAsia" w:ascii="方正小标宋_GBK" w:hAnsi="宋体" w:eastAsia="方正小标宋_GBK"/>
          <w:sz w:val="44"/>
          <w:szCs w:val="44"/>
          <w:highlight w:val="none"/>
        </w:rPr>
        <w:t>部门决算</w:t>
      </w:r>
    </w:p>
    <w:p w14:paraId="01973149">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宋体" w:eastAsia="方正小标宋_GBK"/>
          <w:sz w:val="44"/>
          <w:szCs w:val="44"/>
          <w:highlight w:val="none"/>
        </w:rPr>
      </w:pPr>
      <w:r>
        <w:rPr>
          <w:rFonts w:hint="eastAsia" w:ascii="方正小标宋_GBK" w:hAnsi="宋体" w:eastAsia="方正小标宋_GBK"/>
          <w:sz w:val="44"/>
          <w:szCs w:val="44"/>
          <w:highlight w:val="none"/>
        </w:rPr>
        <w:t>公开说明</w:t>
      </w:r>
    </w:p>
    <w:p w14:paraId="2E37F804">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仿宋_GB2312" w:hAnsi="仿宋_GB2312" w:eastAsia="仿宋_GB2312" w:cs="仿宋_GB2312"/>
          <w:b w:val="0"/>
          <w:bCs/>
          <w:kern w:val="0"/>
          <w:sz w:val="32"/>
          <w:szCs w:val="32"/>
          <w:highlight w:val="none"/>
        </w:rPr>
      </w:pPr>
      <w:r>
        <w:rPr>
          <w:rFonts w:hint="eastAsia" w:ascii="方正小标宋_GBK" w:hAnsi="宋体" w:eastAsia="方正小标宋_GBK"/>
          <w:sz w:val="44"/>
          <w:szCs w:val="44"/>
          <w:highlight w:val="none"/>
        </w:rPr>
        <w:br w:type="page"/>
      </w:r>
      <w:r>
        <w:rPr>
          <w:rFonts w:hint="eastAsia" w:ascii="仿宋_GB2312" w:hAnsi="仿宋_GB2312" w:eastAsia="仿宋_GB2312" w:cs="仿宋_GB2312"/>
          <w:b/>
          <w:bCs w:val="0"/>
          <w:kern w:val="0"/>
          <w:sz w:val="36"/>
          <w:szCs w:val="36"/>
          <w:highlight w:val="none"/>
        </w:rPr>
        <w:t>目  录</w:t>
      </w:r>
    </w:p>
    <w:p w14:paraId="6D304216">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TOC \o "1-3" \n  \h \u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_Toc31918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第一部分 单位概况</w:t>
      </w:r>
      <w:r>
        <w:rPr>
          <w:rFonts w:hint="eastAsia" w:ascii="仿宋_GB2312" w:hAnsi="仿宋_GB2312" w:eastAsia="仿宋_GB2312" w:cs="仿宋_GB2312"/>
          <w:b/>
          <w:bCs/>
          <w:sz w:val="32"/>
          <w:szCs w:val="32"/>
          <w:highlight w:val="none"/>
        </w:rPr>
        <w:fldChar w:fldCharType="end"/>
      </w:r>
    </w:p>
    <w:p w14:paraId="4C839E70">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_Toc2898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一、主要职能</w:t>
      </w:r>
      <w:r>
        <w:rPr>
          <w:rFonts w:hint="eastAsia" w:ascii="仿宋_GB2312" w:hAnsi="仿宋_GB2312" w:eastAsia="仿宋_GB2312" w:cs="仿宋_GB2312"/>
          <w:sz w:val="32"/>
          <w:szCs w:val="32"/>
          <w:highlight w:val="none"/>
        </w:rPr>
        <w:fldChar w:fldCharType="end"/>
      </w:r>
    </w:p>
    <w:p w14:paraId="57C435CB">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_Toc1387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二、机构设置</w:t>
      </w:r>
      <w:r>
        <w:rPr>
          <w:rFonts w:hint="eastAsia" w:ascii="仿宋_GB2312" w:hAnsi="仿宋_GB2312" w:eastAsia="仿宋_GB2312" w:cs="仿宋_GB2312"/>
          <w:bCs/>
          <w:kern w:val="0"/>
          <w:sz w:val="32"/>
          <w:szCs w:val="32"/>
          <w:highlight w:val="none"/>
          <w:lang w:eastAsia="zh-CN"/>
        </w:rPr>
        <w:t>及人员</w:t>
      </w:r>
      <w:r>
        <w:rPr>
          <w:rFonts w:hint="eastAsia" w:ascii="仿宋_GB2312" w:hAnsi="仿宋_GB2312" w:eastAsia="仿宋_GB2312" w:cs="仿宋_GB2312"/>
          <w:bCs/>
          <w:kern w:val="0"/>
          <w:sz w:val="32"/>
          <w:szCs w:val="32"/>
          <w:highlight w:val="none"/>
        </w:rPr>
        <w:t>情况</w:t>
      </w:r>
      <w:r>
        <w:rPr>
          <w:rFonts w:hint="eastAsia" w:ascii="仿宋_GB2312" w:hAnsi="仿宋_GB2312" w:eastAsia="仿宋_GB2312" w:cs="仿宋_GB2312"/>
          <w:sz w:val="32"/>
          <w:szCs w:val="32"/>
          <w:highlight w:val="none"/>
        </w:rPr>
        <w:fldChar w:fldCharType="end"/>
      </w:r>
    </w:p>
    <w:p w14:paraId="0BE8C167">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_Toc7559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二</w:t>
      </w:r>
      <w:r>
        <w:rPr>
          <w:rFonts w:hint="eastAsia" w:ascii="仿宋_GB2312" w:hAnsi="仿宋_GB2312" w:eastAsia="仿宋_GB2312" w:cs="仿宋_GB2312"/>
          <w:b/>
          <w:bCs/>
          <w:sz w:val="32"/>
          <w:szCs w:val="32"/>
          <w:highlight w:val="none"/>
        </w:rPr>
        <w:t>部分 部门决算情况说明</w:t>
      </w:r>
      <w:r>
        <w:rPr>
          <w:rFonts w:hint="eastAsia" w:ascii="仿宋_GB2312" w:hAnsi="仿宋_GB2312" w:eastAsia="仿宋_GB2312" w:cs="仿宋_GB2312"/>
          <w:b/>
          <w:bCs/>
          <w:sz w:val="32"/>
          <w:szCs w:val="32"/>
          <w:highlight w:val="none"/>
        </w:rPr>
        <w:fldChar w:fldCharType="end"/>
      </w:r>
    </w:p>
    <w:p w14:paraId="1487565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_Toc6321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一、收入支出决算总体情况说明</w:t>
      </w:r>
      <w:r>
        <w:rPr>
          <w:rFonts w:hint="eastAsia" w:ascii="仿宋_GB2312" w:hAnsi="仿宋_GB2312" w:eastAsia="仿宋_GB2312" w:cs="仿宋_GB2312"/>
          <w:sz w:val="32"/>
          <w:szCs w:val="32"/>
          <w:highlight w:val="none"/>
        </w:rPr>
        <w:fldChar w:fldCharType="end"/>
      </w:r>
    </w:p>
    <w:p w14:paraId="5C269B25">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_Toc6311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二、</w:t>
      </w:r>
      <w:r>
        <w:rPr>
          <w:rFonts w:hint="eastAsia" w:ascii="仿宋_GB2312" w:hAnsi="仿宋_GB2312" w:eastAsia="仿宋_GB2312" w:cs="仿宋_GB2312"/>
          <w:bCs/>
          <w:kern w:val="0"/>
          <w:sz w:val="32"/>
          <w:szCs w:val="32"/>
          <w:highlight w:val="none"/>
        </w:rPr>
        <w:t>收入</w:t>
      </w:r>
      <w:r>
        <w:rPr>
          <w:rFonts w:hint="eastAsia" w:ascii="仿宋_GB2312" w:hAnsi="仿宋_GB2312" w:eastAsia="仿宋_GB2312" w:cs="仿宋_GB2312"/>
          <w:bCs/>
          <w:kern w:val="0"/>
          <w:sz w:val="32"/>
          <w:szCs w:val="32"/>
          <w:highlight w:val="none"/>
          <w:lang w:eastAsia="zh-CN"/>
        </w:rPr>
        <w:t>决算</w:t>
      </w:r>
      <w:r>
        <w:rPr>
          <w:rFonts w:hint="eastAsia" w:ascii="仿宋_GB2312" w:hAnsi="仿宋_GB2312" w:eastAsia="仿宋_GB2312" w:cs="仿宋_GB2312"/>
          <w:bCs/>
          <w:kern w:val="0"/>
          <w:sz w:val="32"/>
          <w:szCs w:val="32"/>
          <w:highlight w:val="none"/>
        </w:rPr>
        <w:t>情况说明</w:t>
      </w:r>
      <w:r>
        <w:rPr>
          <w:rFonts w:hint="eastAsia" w:ascii="仿宋_GB2312" w:hAnsi="仿宋_GB2312" w:eastAsia="仿宋_GB2312" w:cs="仿宋_GB2312"/>
          <w:sz w:val="32"/>
          <w:szCs w:val="32"/>
          <w:highlight w:val="none"/>
        </w:rPr>
        <w:fldChar w:fldCharType="end"/>
      </w:r>
    </w:p>
    <w:p w14:paraId="5AF5F9AA">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_Toc20629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三、支出决算情况说明</w:t>
      </w:r>
      <w:r>
        <w:rPr>
          <w:rFonts w:hint="eastAsia" w:ascii="仿宋_GB2312" w:hAnsi="仿宋_GB2312" w:eastAsia="仿宋_GB2312" w:cs="仿宋_GB2312"/>
          <w:sz w:val="32"/>
          <w:szCs w:val="32"/>
          <w:highlight w:val="none"/>
        </w:rPr>
        <w:fldChar w:fldCharType="end"/>
      </w:r>
    </w:p>
    <w:p w14:paraId="107F52B4">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_Toc7371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四、财政拨款收入支出决算总体情况说明</w:t>
      </w:r>
      <w:r>
        <w:rPr>
          <w:rFonts w:hint="eastAsia" w:ascii="仿宋_GB2312" w:hAnsi="仿宋_GB2312" w:eastAsia="仿宋_GB2312" w:cs="仿宋_GB2312"/>
          <w:sz w:val="32"/>
          <w:szCs w:val="32"/>
          <w:highlight w:val="none"/>
        </w:rPr>
        <w:fldChar w:fldCharType="end"/>
      </w:r>
    </w:p>
    <w:p w14:paraId="63D16B96">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_Toc18905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五、一般公共预算财政拨款支出决算情况说明</w:t>
      </w:r>
      <w:r>
        <w:rPr>
          <w:rFonts w:hint="eastAsia" w:ascii="仿宋_GB2312" w:hAnsi="仿宋_GB2312" w:eastAsia="仿宋_GB2312" w:cs="仿宋_GB2312"/>
          <w:sz w:val="32"/>
          <w:szCs w:val="32"/>
          <w:highlight w:val="none"/>
        </w:rPr>
        <w:fldChar w:fldCharType="end"/>
      </w:r>
    </w:p>
    <w:p w14:paraId="752323E4">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_Toc1165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（一）一般公共预算财政拨款支出决算总体情况</w:t>
      </w:r>
      <w:r>
        <w:rPr>
          <w:rFonts w:hint="eastAsia" w:ascii="仿宋_GB2312" w:hAnsi="仿宋_GB2312" w:eastAsia="仿宋_GB2312" w:cs="仿宋_GB2312"/>
          <w:sz w:val="32"/>
          <w:szCs w:val="32"/>
          <w:highlight w:val="none"/>
        </w:rPr>
        <w:fldChar w:fldCharType="end"/>
      </w:r>
    </w:p>
    <w:p w14:paraId="65FD508A">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_Toc27147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（二）一般公共预算</w:t>
      </w:r>
      <w:r>
        <w:rPr>
          <w:rFonts w:hint="eastAsia" w:ascii="仿宋_GB2312" w:hAnsi="仿宋_GB2312" w:eastAsia="仿宋_GB2312" w:cs="仿宋_GB2312"/>
          <w:sz w:val="32"/>
          <w:szCs w:val="32"/>
          <w:highlight w:val="none"/>
          <w:lang w:val="en-US" w:eastAsia="zh-CN"/>
        </w:rPr>
        <w:t>财政拨款支出决算</w:t>
      </w:r>
      <w:r>
        <w:rPr>
          <w:rFonts w:hint="eastAsia" w:ascii="仿宋_GB2312" w:hAnsi="仿宋_GB2312" w:eastAsia="仿宋_GB2312" w:cs="仿宋_GB2312"/>
          <w:sz w:val="32"/>
          <w:szCs w:val="32"/>
          <w:highlight w:val="none"/>
          <w:lang w:eastAsia="zh-CN"/>
        </w:rPr>
        <w:t>结构情况</w:t>
      </w:r>
      <w:r>
        <w:rPr>
          <w:rFonts w:hint="eastAsia" w:ascii="仿宋_GB2312" w:hAnsi="仿宋_GB2312" w:eastAsia="仿宋_GB2312" w:cs="仿宋_GB2312"/>
          <w:sz w:val="32"/>
          <w:szCs w:val="32"/>
          <w:highlight w:val="none"/>
        </w:rPr>
        <w:fldChar w:fldCharType="end"/>
      </w:r>
    </w:p>
    <w:p w14:paraId="6BD03571">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_Toc10037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（三）一般公共预算财政拨款支出决算具体情况</w:t>
      </w:r>
      <w:r>
        <w:rPr>
          <w:rFonts w:hint="eastAsia" w:ascii="仿宋_GB2312" w:hAnsi="仿宋_GB2312" w:eastAsia="仿宋_GB2312" w:cs="仿宋_GB2312"/>
          <w:sz w:val="32"/>
          <w:szCs w:val="32"/>
          <w:highlight w:val="none"/>
        </w:rPr>
        <w:fldChar w:fldCharType="end"/>
      </w:r>
    </w:p>
    <w:p w14:paraId="1B749B64">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_Toc23415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六、一般公共预算财政拨款基本支出决算情况说明</w:t>
      </w:r>
      <w:r>
        <w:rPr>
          <w:rFonts w:hint="eastAsia" w:ascii="仿宋_GB2312" w:hAnsi="仿宋_GB2312" w:eastAsia="仿宋_GB2312" w:cs="仿宋_GB2312"/>
          <w:sz w:val="32"/>
          <w:szCs w:val="32"/>
          <w:highlight w:val="none"/>
        </w:rPr>
        <w:fldChar w:fldCharType="end"/>
      </w:r>
    </w:p>
    <w:p w14:paraId="46574738">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_Toc7523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七、</w:t>
      </w:r>
      <w:r>
        <w:rPr>
          <w:rFonts w:hint="eastAsia" w:ascii="仿宋_GB2312" w:hAnsi="仿宋_GB2312" w:eastAsia="仿宋_GB2312" w:cs="仿宋_GB2312"/>
          <w:bCs/>
          <w:kern w:val="0"/>
          <w:sz w:val="32"/>
          <w:szCs w:val="32"/>
          <w:highlight w:val="none"/>
          <w:lang w:eastAsia="zh-CN"/>
        </w:rPr>
        <w:t>政府性基金预算财政拨款收入支出决算情况说明</w:t>
      </w:r>
      <w:r>
        <w:rPr>
          <w:rFonts w:hint="eastAsia" w:ascii="仿宋_GB2312" w:hAnsi="仿宋_GB2312" w:eastAsia="仿宋_GB2312" w:cs="仿宋_GB2312"/>
          <w:sz w:val="32"/>
          <w:szCs w:val="32"/>
          <w:highlight w:val="none"/>
        </w:rPr>
        <w:fldChar w:fldCharType="end"/>
      </w:r>
    </w:p>
    <w:p w14:paraId="28638EA2">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_Toc5563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八</w:t>
      </w:r>
      <w:r>
        <w:rPr>
          <w:rFonts w:hint="eastAsia" w:ascii="仿宋_GB2312" w:hAnsi="仿宋_GB2312" w:eastAsia="仿宋_GB2312" w:cs="仿宋_GB2312"/>
          <w:bCs/>
          <w:kern w:val="0"/>
          <w:sz w:val="32"/>
          <w:szCs w:val="32"/>
          <w:highlight w:val="none"/>
          <w:lang w:eastAsia="zh-CN"/>
        </w:rPr>
        <w:t>、国有资本经营预算财政拨款收入支出决算情况说明</w:t>
      </w:r>
      <w:r>
        <w:rPr>
          <w:rFonts w:hint="eastAsia" w:ascii="仿宋_GB2312" w:hAnsi="仿宋_GB2312" w:eastAsia="仿宋_GB2312" w:cs="仿宋_GB2312"/>
          <w:sz w:val="32"/>
          <w:szCs w:val="32"/>
          <w:highlight w:val="none"/>
        </w:rPr>
        <w:fldChar w:fldCharType="end"/>
      </w:r>
    </w:p>
    <w:p w14:paraId="4BE8723C">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_Toc9161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九</w:t>
      </w:r>
      <w:r>
        <w:rPr>
          <w:rFonts w:hint="eastAsia" w:ascii="仿宋_GB2312" w:hAnsi="仿宋_GB2312" w:eastAsia="仿宋_GB2312" w:cs="仿宋_GB2312"/>
          <w:bCs/>
          <w:kern w:val="0"/>
          <w:sz w:val="32"/>
          <w:szCs w:val="32"/>
          <w:highlight w:val="none"/>
          <w:lang w:eastAsia="zh-CN"/>
        </w:rPr>
        <w:t>、财政拨款</w:t>
      </w:r>
      <w:r>
        <w:rPr>
          <w:rFonts w:hint="eastAsia" w:ascii="仿宋_GB2312" w:hAnsi="仿宋_GB2312" w:eastAsia="仿宋_GB2312" w:cs="仿宋_GB2312"/>
          <w:bCs/>
          <w:kern w:val="0"/>
          <w:sz w:val="32"/>
          <w:szCs w:val="32"/>
          <w:highlight w:val="none"/>
        </w:rPr>
        <w:t>“三公”经费支出</w:t>
      </w:r>
      <w:r>
        <w:rPr>
          <w:rFonts w:hint="eastAsia" w:ascii="仿宋_GB2312" w:hAnsi="仿宋_GB2312" w:eastAsia="仿宋_GB2312" w:cs="仿宋_GB2312"/>
          <w:bCs/>
          <w:kern w:val="0"/>
          <w:sz w:val="32"/>
          <w:szCs w:val="32"/>
          <w:highlight w:val="none"/>
          <w:lang w:eastAsia="zh-CN"/>
        </w:rPr>
        <w:t>决算</w:t>
      </w:r>
      <w:r>
        <w:rPr>
          <w:rFonts w:hint="eastAsia" w:ascii="仿宋_GB2312" w:hAnsi="仿宋_GB2312" w:eastAsia="仿宋_GB2312" w:cs="仿宋_GB2312"/>
          <w:bCs/>
          <w:kern w:val="0"/>
          <w:sz w:val="32"/>
          <w:szCs w:val="32"/>
          <w:highlight w:val="none"/>
        </w:rPr>
        <w:t>情况</w:t>
      </w:r>
      <w:r>
        <w:rPr>
          <w:rFonts w:hint="eastAsia" w:ascii="仿宋_GB2312" w:hAnsi="仿宋_GB2312" w:eastAsia="仿宋_GB2312" w:cs="仿宋_GB2312"/>
          <w:bCs/>
          <w:kern w:val="0"/>
          <w:sz w:val="32"/>
          <w:szCs w:val="32"/>
          <w:highlight w:val="none"/>
          <w:lang w:eastAsia="zh-CN"/>
        </w:rPr>
        <w:t>说明</w:t>
      </w:r>
      <w:r>
        <w:rPr>
          <w:rFonts w:hint="eastAsia" w:ascii="仿宋_GB2312" w:hAnsi="仿宋_GB2312" w:eastAsia="仿宋_GB2312" w:cs="仿宋_GB2312"/>
          <w:sz w:val="32"/>
          <w:szCs w:val="32"/>
          <w:highlight w:val="none"/>
        </w:rPr>
        <w:fldChar w:fldCharType="end"/>
      </w:r>
    </w:p>
    <w:p w14:paraId="248C128C">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_Toc16395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十</w:t>
      </w:r>
      <w:r>
        <w:rPr>
          <w:rFonts w:hint="eastAsia" w:ascii="仿宋_GB2312" w:hAnsi="仿宋_GB2312" w:eastAsia="仿宋_GB2312" w:cs="仿宋_GB2312"/>
          <w:bCs/>
          <w:kern w:val="0"/>
          <w:sz w:val="32"/>
          <w:szCs w:val="32"/>
          <w:highlight w:val="none"/>
        </w:rPr>
        <w:t>、其他重要事项的情况</w:t>
      </w:r>
      <w:r>
        <w:rPr>
          <w:rFonts w:hint="eastAsia" w:ascii="仿宋_GB2312" w:hAnsi="仿宋_GB2312" w:eastAsia="仿宋_GB2312" w:cs="仿宋_GB2312"/>
          <w:bCs/>
          <w:kern w:val="0"/>
          <w:sz w:val="32"/>
          <w:szCs w:val="32"/>
          <w:highlight w:val="none"/>
          <w:lang w:eastAsia="zh-CN"/>
        </w:rPr>
        <w:t>说明</w:t>
      </w:r>
      <w:r>
        <w:rPr>
          <w:rFonts w:hint="eastAsia" w:ascii="仿宋_GB2312" w:hAnsi="仿宋_GB2312" w:eastAsia="仿宋_GB2312" w:cs="仿宋_GB2312"/>
          <w:sz w:val="32"/>
          <w:szCs w:val="32"/>
          <w:highlight w:val="none"/>
        </w:rPr>
        <w:fldChar w:fldCharType="end"/>
      </w:r>
    </w:p>
    <w:p w14:paraId="66AB02AA">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_Toc21748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（一）</w:t>
      </w:r>
      <w:r>
        <w:rPr>
          <w:rFonts w:hint="eastAsia" w:ascii="仿宋_GB2312" w:hAnsi="仿宋_GB2312" w:eastAsia="仿宋_GB2312" w:cs="仿宋_GB2312"/>
          <w:sz w:val="32"/>
          <w:szCs w:val="32"/>
          <w:highlight w:val="none"/>
        </w:rPr>
        <w:t>机关运行经费</w:t>
      </w:r>
      <w:r>
        <w:rPr>
          <w:rFonts w:hint="eastAsia" w:ascii="仿宋_GB2312" w:hAnsi="仿宋_GB2312" w:eastAsia="仿宋_GB2312" w:cs="仿宋_GB2312"/>
          <w:sz w:val="32"/>
          <w:szCs w:val="32"/>
          <w:highlight w:val="none"/>
          <w:lang w:val="en-US" w:eastAsia="zh-CN"/>
        </w:rPr>
        <w:t>及公用经费</w:t>
      </w:r>
      <w:r>
        <w:rPr>
          <w:rFonts w:hint="eastAsia" w:ascii="仿宋_GB2312" w:hAnsi="仿宋_GB2312" w:eastAsia="仿宋_GB2312" w:cs="仿宋_GB2312"/>
          <w:sz w:val="32"/>
          <w:szCs w:val="32"/>
          <w:highlight w:val="none"/>
        </w:rPr>
        <w:t>支出情况</w:t>
      </w:r>
      <w:r>
        <w:rPr>
          <w:rFonts w:hint="eastAsia" w:ascii="仿宋_GB2312" w:hAnsi="仿宋_GB2312" w:eastAsia="仿宋_GB2312" w:cs="仿宋_GB2312"/>
          <w:sz w:val="32"/>
          <w:szCs w:val="32"/>
          <w:highlight w:val="none"/>
        </w:rPr>
        <w:fldChar w:fldCharType="end"/>
      </w:r>
    </w:p>
    <w:p w14:paraId="496130BB">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_Toc25177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（二）政府采购情况</w:t>
      </w:r>
      <w:r>
        <w:rPr>
          <w:rFonts w:hint="eastAsia" w:ascii="仿宋_GB2312" w:hAnsi="仿宋_GB2312" w:eastAsia="仿宋_GB2312" w:cs="仿宋_GB2312"/>
          <w:sz w:val="32"/>
          <w:szCs w:val="32"/>
          <w:highlight w:val="none"/>
        </w:rPr>
        <w:fldChar w:fldCharType="end"/>
      </w:r>
    </w:p>
    <w:p w14:paraId="5BAB1FC4">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_Toc31294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（三）国有资产占用情况说明</w:t>
      </w:r>
      <w:r>
        <w:rPr>
          <w:rFonts w:hint="eastAsia" w:ascii="仿宋_GB2312" w:hAnsi="仿宋_GB2312" w:eastAsia="仿宋_GB2312" w:cs="仿宋_GB2312"/>
          <w:sz w:val="32"/>
          <w:szCs w:val="32"/>
          <w:highlight w:val="none"/>
        </w:rPr>
        <w:fldChar w:fldCharType="end"/>
      </w:r>
    </w:p>
    <w:p w14:paraId="0C8104BA">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_Toc17664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十</w:t>
      </w:r>
      <w:r>
        <w:rPr>
          <w:rFonts w:hint="eastAsia" w:ascii="仿宋_GB2312" w:hAnsi="仿宋_GB2312" w:eastAsia="仿宋_GB2312" w:cs="仿宋_GB2312"/>
          <w:bCs/>
          <w:kern w:val="0"/>
          <w:sz w:val="32"/>
          <w:szCs w:val="32"/>
          <w:highlight w:val="none"/>
          <w:lang w:val="en-US" w:eastAsia="zh-CN"/>
        </w:rPr>
        <w:t>一</w:t>
      </w:r>
      <w:r>
        <w:rPr>
          <w:rFonts w:hint="eastAsia" w:ascii="仿宋_GB2312" w:hAnsi="仿宋_GB2312" w:eastAsia="仿宋_GB2312" w:cs="仿宋_GB2312"/>
          <w:bCs/>
          <w:kern w:val="0"/>
          <w:sz w:val="32"/>
          <w:szCs w:val="32"/>
          <w:highlight w:val="none"/>
          <w:lang w:eastAsia="zh-CN"/>
        </w:rPr>
        <w:t>、预算绩效的情况说明</w:t>
      </w:r>
      <w:r>
        <w:rPr>
          <w:rFonts w:hint="eastAsia" w:ascii="仿宋_GB2312" w:hAnsi="仿宋_GB2312" w:eastAsia="仿宋_GB2312" w:cs="仿宋_GB2312"/>
          <w:sz w:val="32"/>
          <w:szCs w:val="32"/>
          <w:highlight w:val="none"/>
        </w:rPr>
        <w:fldChar w:fldCharType="end"/>
      </w:r>
    </w:p>
    <w:p w14:paraId="071C926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十二、其他需说明的事项</w:t>
      </w:r>
    </w:p>
    <w:p w14:paraId="4074BAF6">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_Toc30038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三</w:t>
      </w:r>
      <w:r>
        <w:rPr>
          <w:rFonts w:hint="eastAsia" w:ascii="仿宋_GB2312" w:hAnsi="仿宋_GB2312" w:eastAsia="仿宋_GB2312" w:cs="仿宋_GB2312"/>
          <w:b/>
          <w:bCs/>
          <w:sz w:val="32"/>
          <w:szCs w:val="32"/>
          <w:highlight w:val="none"/>
        </w:rPr>
        <w:t>部分 专业名词解释</w:t>
      </w:r>
      <w:r>
        <w:rPr>
          <w:rFonts w:hint="eastAsia" w:ascii="仿宋_GB2312" w:hAnsi="仿宋_GB2312" w:eastAsia="仿宋_GB2312" w:cs="仿宋_GB2312"/>
          <w:b/>
          <w:bCs/>
          <w:sz w:val="32"/>
          <w:szCs w:val="32"/>
          <w:highlight w:val="none"/>
        </w:rPr>
        <w:fldChar w:fldCharType="end"/>
      </w:r>
    </w:p>
    <w:p w14:paraId="35BDB0CB">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_Toc6831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第四部分 部门决算报表（见附表）</w:t>
      </w:r>
      <w:r>
        <w:rPr>
          <w:rFonts w:hint="eastAsia" w:ascii="仿宋_GB2312" w:hAnsi="仿宋_GB2312" w:eastAsia="仿宋_GB2312" w:cs="仿宋_GB2312"/>
          <w:b/>
          <w:bCs/>
          <w:sz w:val="32"/>
          <w:szCs w:val="32"/>
          <w:highlight w:val="none"/>
        </w:rPr>
        <w:fldChar w:fldCharType="end"/>
      </w:r>
    </w:p>
    <w:p w14:paraId="2F2F73B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_Toc3845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一、《收入支出决算总表》</w:t>
      </w:r>
      <w:r>
        <w:rPr>
          <w:rFonts w:hint="eastAsia" w:ascii="仿宋_GB2312" w:hAnsi="仿宋_GB2312" w:eastAsia="仿宋_GB2312" w:cs="仿宋_GB2312"/>
          <w:sz w:val="32"/>
          <w:szCs w:val="32"/>
          <w:highlight w:val="none"/>
        </w:rPr>
        <w:fldChar w:fldCharType="end"/>
      </w:r>
    </w:p>
    <w:p w14:paraId="09075C8C">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_Toc11927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二、《收入决算表》</w:t>
      </w:r>
      <w:r>
        <w:rPr>
          <w:rFonts w:hint="eastAsia" w:ascii="仿宋_GB2312" w:hAnsi="仿宋_GB2312" w:eastAsia="仿宋_GB2312" w:cs="仿宋_GB2312"/>
          <w:sz w:val="32"/>
          <w:szCs w:val="32"/>
          <w:highlight w:val="none"/>
        </w:rPr>
        <w:fldChar w:fldCharType="end"/>
      </w:r>
    </w:p>
    <w:p w14:paraId="1551A43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_Toc7443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三、《支出决算表》</w:t>
      </w:r>
      <w:r>
        <w:rPr>
          <w:rFonts w:hint="eastAsia" w:ascii="仿宋_GB2312" w:hAnsi="仿宋_GB2312" w:eastAsia="仿宋_GB2312" w:cs="仿宋_GB2312"/>
          <w:sz w:val="32"/>
          <w:szCs w:val="32"/>
          <w:highlight w:val="none"/>
        </w:rPr>
        <w:fldChar w:fldCharType="end"/>
      </w:r>
    </w:p>
    <w:p w14:paraId="602EBD5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_Toc24884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四、《财政拨款收入支出决算总表》</w:t>
      </w:r>
      <w:r>
        <w:rPr>
          <w:rFonts w:hint="eastAsia" w:ascii="仿宋_GB2312" w:hAnsi="仿宋_GB2312" w:eastAsia="仿宋_GB2312" w:cs="仿宋_GB2312"/>
          <w:sz w:val="32"/>
          <w:szCs w:val="32"/>
          <w:highlight w:val="none"/>
        </w:rPr>
        <w:fldChar w:fldCharType="end"/>
      </w:r>
    </w:p>
    <w:p w14:paraId="7CCE8969">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_Toc16518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五、《一般公共预算财政拨款支出决算表》</w:t>
      </w:r>
      <w:r>
        <w:rPr>
          <w:rFonts w:hint="eastAsia" w:ascii="仿宋_GB2312" w:hAnsi="仿宋_GB2312" w:eastAsia="仿宋_GB2312" w:cs="仿宋_GB2312"/>
          <w:sz w:val="32"/>
          <w:szCs w:val="32"/>
          <w:highlight w:val="none"/>
        </w:rPr>
        <w:fldChar w:fldCharType="end"/>
      </w:r>
    </w:p>
    <w:p w14:paraId="0F457412">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_Toc20514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六、《一般公共预算财政拨款基本支出决算表》</w:t>
      </w:r>
      <w:r>
        <w:rPr>
          <w:rFonts w:hint="eastAsia" w:ascii="仿宋_GB2312" w:hAnsi="仿宋_GB2312" w:eastAsia="仿宋_GB2312" w:cs="仿宋_GB2312"/>
          <w:sz w:val="32"/>
          <w:szCs w:val="32"/>
          <w:highlight w:val="none"/>
        </w:rPr>
        <w:fldChar w:fldCharType="end"/>
      </w:r>
    </w:p>
    <w:p w14:paraId="7AFC390B">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_Toc18055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七、《政府性基金预算财政拨款收入支出决算表》</w:t>
      </w:r>
      <w:r>
        <w:rPr>
          <w:rFonts w:hint="eastAsia" w:ascii="仿宋_GB2312" w:hAnsi="仿宋_GB2312" w:eastAsia="仿宋_GB2312" w:cs="仿宋_GB2312"/>
          <w:sz w:val="32"/>
          <w:szCs w:val="32"/>
          <w:highlight w:val="none"/>
        </w:rPr>
        <w:fldChar w:fldCharType="end"/>
      </w:r>
    </w:p>
    <w:p w14:paraId="76C39016">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_Toc10719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八、《</w:t>
      </w:r>
      <w:r>
        <w:rPr>
          <w:rFonts w:hint="eastAsia" w:ascii="仿宋_GB2312" w:hAnsi="仿宋_GB2312" w:eastAsia="仿宋_GB2312" w:cs="仿宋_GB2312"/>
          <w:bCs/>
          <w:kern w:val="0"/>
          <w:sz w:val="32"/>
          <w:szCs w:val="32"/>
          <w:highlight w:val="none"/>
          <w:lang w:eastAsia="zh-CN"/>
        </w:rPr>
        <w:t>国有资本经营</w:t>
      </w:r>
      <w:r>
        <w:rPr>
          <w:rFonts w:hint="eastAsia" w:ascii="仿宋_GB2312" w:hAnsi="仿宋_GB2312" w:eastAsia="仿宋_GB2312" w:cs="仿宋_GB2312"/>
          <w:bCs/>
          <w:kern w:val="0"/>
          <w:sz w:val="32"/>
          <w:szCs w:val="32"/>
          <w:highlight w:val="none"/>
        </w:rPr>
        <w:t>预算财政拨款收入支出决算表》</w:t>
      </w:r>
      <w:r>
        <w:rPr>
          <w:rFonts w:hint="eastAsia" w:ascii="仿宋_GB2312" w:hAnsi="仿宋_GB2312" w:eastAsia="仿宋_GB2312" w:cs="仿宋_GB2312"/>
          <w:sz w:val="32"/>
          <w:szCs w:val="32"/>
          <w:highlight w:val="none"/>
        </w:rPr>
        <w:fldChar w:fldCharType="end"/>
      </w:r>
    </w:p>
    <w:p w14:paraId="307A4C9B">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_Toc18861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九</w:t>
      </w:r>
      <w:r>
        <w:rPr>
          <w:rFonts w:hint="eastAsia" w:ascii="仿宋_GB2312" w:hAnsi="仿宋_GB2312" w:eastAsia="仿宋_GB2312" w:cs="仿宋_GB2312"/>
          <w:bCs/>
          <w:kern w:val="0"/>
          <w:sz w:val="32"/>
          <w:szCs w:val="32"/>
          <w:highlight w:val="none"/>
        </w:rPr>
        <w:t>、《财政拨款“三公”经费支出决算表》</w:t>
      </w:r>
      <w:r>
        <w:rPr>
          <w:rFonts w:hint="eastAsia" w:ascii="仿宋_GB2312" w:hAnsi="仿宋_GB2312" w:eastAsia="仿宋_GB2312" w:cs="仿宋_GB2312"/>
          <w:sz w:val="32"/>
          <w:szCs w:val="32"/>
          <w:highlight w:val="none"/>
        </w:rPr>
        <w:fldChar w:fldCharType="end"/>
      </w:r>
    </w:p>
    <w:p w14:paraId="784583FA">
      <w:pPr>
        <w:pStyle w:val="7"/>
        <w:keepNext w:val="0"/>
        <w:keepLines w:val="0"/>
        <w:pageBreakBefore w:val="0"/>
        <w:widowControl w:val="0"/>
        <w:tabs>
          <w:tab w:val="righ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fldChar w:fldCharType="end"/>
      </w:r>
    </w:p>
    <w:p w14:paraId="175D1A44">
      <w:r>
        <w:br w:type="page"/>
      </w:r>
    </w:p>
    <w:p w14:paraId="7C10A376">
      <w:pPr>
        <w:spacing w:line="640" w:lineRule="exact"/>
        <w:jc w:val="center"/>
        <w:outlineLvl w:val="1"/>
      </w:pPr>
      <w:r>
        <w:rPr>
          <w:rFonts w:ascii="黑体" w:hAnsi="黑体" w:eastAsia="黑体"/>
          <w:sz w:val="32"/>
        </w:rPr>
        <w:t>第一部分 单位概况</w:t>
      </w:r>
    </w:p>
    <w:p w14:paraId="56D20D32">
      <w:pPr>
        <w:spacing w:line="640" w:lineRule="exact"/>
        <w:ind w:firstLine="640"/>
        <w:jc w:val="both"/>
        <w:outlineLvl w:val="2"/>
      </w:pPr>
      <w:r>
        <w:rPr>
          <w:rFonts w:ascii="黑体" w:hAnsi="黑体" w:eastAsia="黑体"/>
          <w:sz w:val="32"/>
        </w:rPr>
        <w:t>一、主要职能</w:t>
      </w:r>
    </w:p>
    <w:p w14:paraId="6735C8B8">
      <w:pPr>
        <w:spacing w:line="580" w:lineRule="exact"/>
        <w:ind w:firstLine="640"/>
        <w:jc w:val="both"/>
      </w:pPr>
      <w:r>
        <w:rPr>
          <w:rFonts w:ascii="仿宋_GB2312" w:hAnsi="仿宋_GB2312" w:eastAsia="仿宋_GB2312"/>
          <w:sz w:val="32"/>
        </w:rPr>
        <w:t>（一）深入贯彻习近平新时代中国特色社会主义思想，深入贯彻党的路线方针政策和决策部署，聚焦长治久安总目标，统一全院检察人员思想和行动，坚持党对检察工作的绝对领导，坚决维护习近平总书记的核心地位，坚决维护党中央权威和集中统一领导。</w:t>
      </w:r>
    </w:p>
    <w:p w14:paraId="61E6DDFF">
      <w:pPr>
        <w:spacing w:line="580" w:lineRule="exact"/>
        <w:ind w:firstLine="640"/>
        <w:jc w:val="both"/>
        <w:rPr>
          <w:spacing w:val="-6"/>
          <w:sz w:val="32"/>
        </w:rPr>
      </w:pPr>
      <w:r>
        <w:rPr>
          <w:rFonts w:ascii="仿宋_GB2312" w:hAnsi="仿宋_GB2312" w:eastAsia="仿宋_GB2312"/>
          <w:spacing w:val="-6"/>
          <w:sz w:val="32"/>
        </w:rPr>
        <w:t>（二）依法向呼图壁县人民代表大会及其常务委员会提出议案。</w:t>
      </w:r>
    </w:p>
    <w:p w14:paraId="11EF80B5">
      <w:pPr>
        <w:spacing w:line="580" w:lineRule="exact"/>
        <w:ind w:firstLine="640"/>
        <w:jc w:val="both"/>
        <w:rPr>
          <w:spacing w:val="-6"/>
          <w:sz w:val="32"/>
        </w:rPr>
      </w:pPr>
      <w:r>
        <w:rPr>
          <w:rFonts w:ascii="仿宋_GB2312" w:hAnsi="仿宋_GB2312" w:eastAsia="仿宋_GB2312"/>
          <w:spacing w:val="-6"/>
          <w:sz w:val="32"/>
        </w:rPr>
        <w:t>（三）贯彻落实检察工作方针、总体规划，完成检察工作任务。</w:t>
      </w:r>
    </w:p>
    <w:p w14:paraId="597E3268">
      <w:pPr>
        <w:spacing w:line="580" w:lineRule="exact"/>
        <w:ind w:firstLine="640"/>
        <w:jc w:val="both"/>
      </w:pPr>
      <w:r>
        <w:rPr>
          <w:rFonts w:ascii="仿宋_GB2312" w:hAnsi="仿宋_GB2312" w:eastAsia="仿宋_GB2312"/>
          <w:sz w:val="32"/>
        </w:rPr>
        <w:t>（四）依法开展对刑事犯罪案件的审查批准逮捕、决定逮捕、审查起诉工作。</w:t>
      </w:r>
    </w:p>
    <w:p w14:paraId="67A29441">
      <w:pPr>
        <w:spacing w:line="580" w:lineRule="exact"/>
        <w:ind w:firstLine="640"/>
        <w:jc w:val="both"/>
      </w:pPr>
      <w:r>
        <w:rPr>
          <w:rFonts w:ascii="仿宋_GB2312" w:hAnsi="仿宋_GB2312" w:eastAsia="仿宋_GB2312"/>
          <w:sz w:val="32"/>
        </w:rPr>
        <w:t>（五）负责应由呼图壁县人民检察院承办的刑事、民事、行政诉讼活动及刑事、民事、行政判决和裁定等生效法律文书执行的法律监督工作。</w:t>
      </w:r>
    </w:p>
    <w:p w14:paraId="4110A672">
      <w:pPr>
        <w:spacing w:line="580" w:lineRule="exact"/>
        <w:ind w:firstLine="640"/>
        <w:jc w:val="both"/>
      </w:pPr>
      <w:r>
        <w:rPr>
          <w:rFonts w:ascii="仿宋_GB2312" w:hAnsi="仿宋_GB2312" w:eastAsia="仿宋_GB2312"/>
          <w:sz w:val="32"/>
        </w:rPr>
        <w:t>（六）负责对呼图壁县基层人民法院已发生法律效力、确有错误的判决和裁定，依法提请昌吉州人民检察院向昌吉州中级人民法院提出抗诉。</w:t>
      </w:r>
    </w:p>
    <w:p w14:paraId="5CD6619B">
      <w:pPr>
        <w:spacing w:line="580" w:lineRule="exact"/>
        <w:ind w:firstLine="640"/>
        <w:jc w:val="both"/>
        <w:rPr>
          <w:spacing w:val="-6"/>
          <w:sz w:val="32"/>
        </w:rPr>
      </w:pPr>
      <w:r>
        <w:rPr>
          <w:rFonts w:ascii="仿宋_GB2312" w:hAnsi="仿宋_GB2312" w:eastAsia="仿宋_GB2312"/>
          <w:spacing w:val="-6"/>
          <w:sz w:val="32"/>
        </w:rPr>
        <w:t>（七）负责应由呼图壁县人民检察院承办的提起公益诉讼工作。</w:t>
      </w:r>
    </w:p>
    <w:p w14:paraId="38F0DC56">
      <w:pPr>
        <w:spacing w:line="580" w:lineRule="exact"/>
        <w:ind w:firstLine="640"/>
        <w:jc w:val="both"/>
      </w:pPr>
      <w:r>
        <w:rPr>
          <w:rFonts w:ascii="仿宋_GB2312" w:hAnsi="仿宋_GB2312" w:eastAsia="仿宋_GB2312"/>
          <w:sz w:val="32"/>
        </w:rPr>
        <w:t>（八）</w:t>
      </w:r>
      <w:r>
        <w:rPr>
          <w:rFonts w:hint="eastAsia" w:ascii="仿宋_GB2312" w:hAnsi="仿宋_GB2312" w:eastAsia="仿宋_GB2312"/>
          <w:sz w:val="32"/>
          <w:lang w:eastAsia="zh-CN"/>
        </w:rPr>
        <w:t>负责</w:t>
      </w:r>
      <w:r>
        <w:rPr>
          <w:rFonts w:ascii="仿宋_GB2312" w:hAnsi="仿宋_GB2312" w:eastAsia="仿宋_GB2312"/>
          <w:sz w:val="32"/>
        </w:rPr>
        <w:t>由呼图壁县人民检察院承办的对安置教育机构、看守所、社区矫正机构等执法活动的法律监督工作。</w:t>
      </w:r>
    </w:p>
    <w:p w14:paraId="0CD7B0B2">
      <w:pPr>
        <w:spacing w:line="580" w:lineRule="exact"/>
        <w:ind w:firstLine="640"/>
        <w:jc w:val="both"/>
      </w:pPr>
      <w:r>
        <w:rPr>
          <w:rFonts w:ascii="仿宋_GB2312" w:hAnsi="仿宋_GB2312" w:eastAsia="仿宋_GB2312"/>
          <w:sz w:val="32"/>
        </w:rPr>
        <w:t>（九）受理向呼图壁县人民检察院的控告申诉，开展控告申诉检察工作。</w:t>
      </w:r>
    </w:p>
    <w:p w14:paraId="1180FE7C">
      <w:pPr>
        <w:spacing w:line="580" w:lineRule="exact"/>
        <w:ind w:firstLine="640"/>
        <w:jc w:val="both"/>
      </w:pPr>
      <w:r>
        <w:rPr>
          <w:rFonts w:ascii="仿宋_GB2312" w:hAnsi="仿宋_GB2312" w:eastAsia="仿宋_GB2312"/>
          <w:sz w:val="32"/>
        </w:rPr>
        <w:t>（十）开展检察应用和理论研究工作。</w:t>
      </w:r>
    </w:p>
    <w:p w14:paraId="1D70FB7F">
      <w:pPr>
        <w:spacing w:line="580" w:lineRule="exact"/>
        <w:ind w:firstLine="640"/>
        <w:jc w:val="both"/>
      </w:pPr>
      <w:r>
        <w:rPr>
          <w:rFonts w:ascii="仿宋_GB2312" w:hAnsi="仿宋_GB2312" w:eastAsia="仿宋_GB2312"/>
          <w:sz w:val="32"/>
        </w:rPr>
        <w:t>（十一）负责本院队伍建设和思想政治工作。依法管理检察官及其他检察人员的工作，开展检察机关教育培训工作。</w:t>
      </w:r>
    </w:p>
    <w:p w14:paraId="651D1371">
      <w:pPr>
        <w:spacing w:line="580" w:lineRule="exact"/>
        <w:ind w:firstLine="640"/>
        <w:jc w:val="both"/>
      </w:pPr>
      <w:r>
        <w:rPr>
          <w:rFonts w:ascii="仿宋_GB2312" w:hAnsi="仿宋_GB2312" w:eastAsia="仿宋_GB2312"/>
          <w:sz w:val="32"/>
        </w:rPr>
        <w:t>（十二）开展本院检务督察工作。</w:t>
      </w:r>
    </w:p>
    <w:p w14:paraId="73253286">
      <w:pPr>
        <w:spacing w:line="580" w:lineRule="exact"/>
        <w:ind w:firstLine="640"/>
        <w:jc w:val="both"/>
      </w:pPr>
      <w:r>
        <w:rPr>
          <w:rFonts w:ascii="仿宋_GB2312" w:hAnsi="仿宋_GB2312" w:eastAsia="仿宋_GB2312"/>
          <w:sz w:val="32"/>
        </w:rPr>
        <w:t>（十三）开展检察机关的财务装备工作，检察技术信息工作。</w:t>
      </w:r>
    </w:p>
    <w:p w14:paraId="5FCE4B94">
      <w:pPr>
        <w:spacing w:line="580" w:lineRule="exact"/>
        <w:ind w:firstLine="640"/>
        <w:jc w:val="both"/>
      </w:pPr>
      <w:r>
        <w:rPr>
          <w:rFonts w:ascii="仿宋_GB2312" w:hAnsi="仿宋_GB2312" w:eastAsia="仿宋_GB2312"/>
          <w:sz w:val="32"/>
        </w:rPr>
        <w:t>（十四）负责其他应当由呼图壁县人民检察院承办的事项。</w:t>
      </w:r>
    </w:p>
    <w:p w14:paraId="3C436BD4">
      <w:pPr>
        <w:spacing w:line="640" w:lineRule="exact"/>
        <w:ind w:firstLine="640"/>
        <w:jc w:val="both"/>
        <w:outlineLvl w:val="2"/>
      </w:pPr>
      <w:r>
        <w:rPr>
          <w:rFonts w:ascii="黑体" w:hAnsi="黑体" w:eastAsia="黑体"/>
          <w:sz w:val="32"/>
        </w:rPr>
        <w:t>二、机构设置及人员情况</w:t>
      </w:r>
    </w:p>
    <w:p w14:paraId="2EBC508C">
      <w:pPr>
        <w:spacing w:line="580" w:lineRule="exact"/>
        <w:ind w:firstLine="640"/>
        <w:jc w:val="both"/>
      </w:pPr>
      <w:r>
        <w:rPr>
          <w:rFonts w:ascii="仿宋_GB2312" w:hAnsi="仿宋_GB2312" w:eastAsia="仿宋_GB2312"/>
          <w:sz w:val="32"/>
        </w:rPr>
        <w:t>呼图壁县人民检察院2024年度，实有人数45人，其中：在职人员27人，减少2人；离休人员0人，增加0人；退休人员18人,增加3人。</w:t>
      </w:r>
    </w:p>
    <w:p w14:paraId="08BC83B6">
      <w:pPr>
        <w:spacing w:line="580" w:lineRule="exact"/>
        <w:ind w:firstLine="640"/>
        <w:jc w:val="both"/>
      </w:pPr>
      <w:r>
        <w:rPr>
          <w:rFonts w:ascii="仿宋_GB2312" w:hAnsi="仿宋_GB2312" w:eastAsia="仿宋_GB2312"/>
          <w:sz w:val="32"/>
        </w:rPr>
        <w:t>呼图壁县人民检察院无下属预算单位，下设5个科室，分别是：办公室、政治部、第一检察部、第二检察部、第三检察部。</w:t>
      </w:r>
    </w:p>
    <w:p w14:paraId="7F8B1FE3">
      <w:r>
        <w:br w:type="page"/>
      </w:r>
    </w:p>
    <w:p w14:paraId="0D6917C8">
      <w:pPr>
        <w:spacing w:line="240" w:lineRule="auto"/>
        <w:jc w:val="center"/>
        <w:outlineLvl w:val="1"/>
      </w:pPr>
      <w:r>
        <w:rPr>
          <w:rFonts w:ascii="黑体" w:hAnsi="黑体" w:eastAsia="黑体"/>
          <w:sz w:val="32"/>
        </w:rPr>
        <w:t>第二部分 部门决算情况说明</w:t>
      </w:r>
    </w:p>
    <w:p w14:paraId="4C60BDD6">
      <w:pPr>
        <w:spacing w:line="640" w:lineRule="exact"/>
        <w:ind w:firstLine="640"/>
        <w:jc w:val="both"/>
        <w:outlineLvl w:val="2"/>
      </w:pPr>
      <w:r>
        <w:rPr>
          <w:rFonts w:ascii="黑体" w:hAnsi="黑体" w:eastAsia="黑体"/>
          <w:sz w:val="32"/>
        </w:rPr>
        <w:t>一、收入支出决算总体情况说明</w:t>
      </w:r>
    </w:p>
    <w:p w14:paraId="6A18B628">
      <w:pPr>
        <w:spacing w:line="580" w:lineRule="exact"/>
        <w:ind w:firstLine="640"/>
        <w:jc w:val="both"/>
      </w:pPr>
      <w:r>
        <w:rPr>
          <w:rFonts w:ascii="仿宋_GB2312" w:hAnsi="仿宋_GB2312" w:eastAsia="仿宋_GB2312"/>
          <w:b/>
          <w:sz w:val="32"/>
        </w:rPr>
        <w:t>2024年度收入总计1,253.03万元，</w:t>
      </w:r>
      <w:r>
        <w:rPr>
          <w:rFonts w:ascii="仿宋_GB2312" w:hAnsi="仿宋_GB2312" w:eastAsia="仿宋_GB2312"/>
          <w:b w:val="0"/>
          <w:sz w:val="32"/>
        </w:rPr>
        <w:t>其中：本年收入合计987.77万元，使用非财政拨款结余（含专用结余）0.00万元，年初结转和结余265.26万元。</w:t>
      </w:r>
    </w:p>
    <w:p w14:paraId="6FC94AD9">
      <w:pPr>
        <w:spacing w:line="580" w:lineRule="exact"/>
        <w:ind w:firstLine="640"/>
        <w:jc w:val="both"/>
      </w:pPr>
      <w:r>
        <w:rPr>
          <w:rFonts w:ascii="仿宋_GB2312" w:hAnsi="仿宋_GB2312" w:eastAsia="仿宋_GB2312"/>
          <w:b/>
          <w:sz w:val="32"/>
        </w:rPr>
        <w:t>2024年度支出总计1,253.03万元，</w:t>
      </w:r>
      <w:r>
        <w:rPr>
          <w:rFonts w:ascii="仿宋_GB2312" w:hAnsi="仿宋_GB2312" w:eastAsia="仿宋_GB2312"/>
          <w:b w:val="0"/>
          <w:sz w:val="32"/>
        </w:rPr>
        <w:t>其中：本年支出合计1,091.99万元，结余分配0.00万元，年末结转和结余161.05万元。</w:t>
      </w:r>
    </w:p>
    <w:p w14:paraId="3E746967">
      <w:pPr>
        <w:spacing w:line="580" w:lineRule="exact"/>
        <w:ind w:firstLine="640"/>
        <w:jc w:val="both"/>
      </w:pPr>
      <w:r>
        <w:rPr>
          <w:rFonts w:ascii="仿宋_GB2312" w:hAnsi="仿宋_GB2312" w:eastAsia="仿宋_GB2312"/>
          <w:b w:val="0"/>
          <w:sz w:val="32"/>
        </w:rPr>
        <w:t>收入支出总体与上年相比，减少134.45万元，下降9.69%，主要原因是：本年在职人员减少，相关人员经费减少；减少援疆资金机关运行补助项目，财政拨款机关运行补助经费项目减少，减少为民办实事经费，导致经费较上年减少。</w:t>
      </w:r>
    </w:p>
    <w:p w14:paraId="15B01E19">
      <w:pPr>
        <w:spacing w:line="640" w:lineRule="exact"/>
        <w:ind w:firstLine="640"/>
        <w:jc w:val="both"/>
        <w:outlineLvl w:val="2"/>
      </w:pPr>
      <w:r>
        <w:rPr>
          <w:rFonts w:ascii="黑体" w:hAnsi="黑体" w:eastAsia="黑体"/>
          <w:sz w:val="32"/>
        </w:rPr>
        <w:t>二、收入决算情况说明</w:t>
      </w:r>
    </w:p>
    <w:p w14:paraId="33AAC06C">
      <w:pPr>
        <w:spacing w:line="580" w:lineRule="exact"/>
        <w:ind w:firstLine="640"/>
        <w:jc w:val="both"/>
      </w:pPr>
      <w:r>
        <w:rPr>
          <w:rFonts w:ascii="仿宋_GB2312" w:hAnsi="仿宋_GB2312" w:eastAsia="仿宋_GB2312"/>
          <w:b/>
          <w:sz w:val="32"/>
        </w:rPr>
        <w:t>本年收入987.77万元，</w:t>
      </w:r>
      <w:r>
        <w:rPr>
          <w:rFonts w:ascii="仿宋_GB2312" w:hAnsi="仿宋_GB2312" w:eastAsia="仿宋_GB2312"/>
          <w:b w:val="0"/>
          <w:sz w:val="32"/>
        </w:rPr>
        <w:t>其中：财政拨款收入947.32万元，占95.90%；上级补助收入0.00万元，占0.00%；事业收入0.00万元，占0.00%；经营收入0.00万元，占0.00%；附属单位上缴收入0.00万元，占0.00%；其他收入40.46万元，占4.10%。</w:t>
      </w:r>
    </w:p>
    <w:p w14:paraId="103E14EE">
      <w:pPr>
        <w:spacing w:line="640" w:lineRule="exact"/>
        <w:ind w:firstLine="640"/>
        <w:jc w:val="both"/>
        <w:outlineLvl w:val="2"/>
      </w:pPr>
      <w:r>
        <w:rPr>
          <w:rFonts w:ascii="黑体" w:hAnsi="黑体" w:eastAsia="黑体"/>
          <w:sz w:val="32"/>
        </w:rPr>
        <w:t>三、支出决算情况说明</w:t>
      </w:r>
    </w:p>
    <w:p w14:paraId="7B2AEAB6">
      <w:pPr>
        <w:spacing w:line="580" w:lineRule="exact"/>
        <w:ind w:firstLine="640"/>
        <w:jc w:val="both"/>
      </w:pPr>
      <w:r>
        <w:rPr>
          <w:rFonts w:ascii="仿宋_GB2312" w:hAnsi="仿宋_GB2312" w:eastAsia="仿宋_GB2312"/>
          <w:b/>
          <w:sz w:val="32"/>
        </w:rPr>
        <w:t>本年支出1,091.99万元，</w:t>
      </w:r>
      <w:r>
        <w:rPr>
          <w:rFonts w:ascii="仿宋_GB2312" w:hAnsi="仿宋_GB2312" w:eastAsia="仿宋_GB2312"/>
          <w:b w:val="0"/>
          <w:sz w:val="32"/>
        </w:rPr>
        <w:t>其中：基本支出744.05万元，占68.14%；项目支出347.94万元，占31.86%；上缴上级支出0.00万元，占0.00%；经营支出0.00万元，占0.00%；对附属单位补助支出0.00万元，占0.00%。</w:t>
      </w:r>
    </w:p>
    <w:p w14:paraId="658483F9">
      <w:pPr>
        <w:spacing w:line="640" w:lineRule="exact"/>
        <w:ind w:firstLine="640"/>
        <w:jc w:val="both"/>
        <w:outlineLvl w:val="2"/>
      </w:pPr>
      <w:r>
        <w:rPr>
          <w:rFonts w:ascii="黑体" w:hAnsi="黑体" w:eastAsia="黑体"/>
          <w:sz w:val="32"/>
        </w:rPr>
        <w:t>四、财政拨款收入支出决算总体情况说明</w:t>
      </w:r>
    </w:p>
    <w:p w14:paraId="14BCC3AC">
      <w:pPr>
        <w:spacing w:line="580" w:lineRule="exact"/>
        <w:ind w:firstLine="640"/>
        <w:jc w:val="both"/>
      </w:pPr>
      <w:r>
        <w:rPr>
          <w:rFonts w:ascii="仿宋_GB2312" w:hAnsi="仿宋_GB2312" w:eastAsia="仿宋_GB2312"/>
          <w:b/>
          <w:sz w:val="32"/>
        </w:rPr>
        <w:t>2024年度财政拨款收入总计947.32万元，</w:t>
      </w:r>
      <w:r>
        <w:rPr>
          <w:rFonts w:ascii="仿宋_GB2312" w:hAnsi="仿宋_GB2312" w:eastAsia="仿宋_GB2312"/>
          <w:b w:val="0"/>
          <w:sz w:val="32"/>
        </w:rPr>
        <w:t>其中：年初财政拨款结转和结余0.00万元，本年财政拨款收入947.32万元。</w:t>
      </w:r>
      <w:r>
        <w:rPr>
          <w:rFonts w:ascii="仿宋_GB2312" w:hAnsi="仿宋_GB2312" w:eastAsia="仿宋_GB2312"/>
          <w:b/>
          <w:sz w:val="32"/>
        </w:rPr>
        <w:t>财政拨款支出总计947.32万元，</w:t>
      </w:r>
      <w:r>
        <w:rPr>
          <w:rFonts w:ascii="仿宋_GB2312" w:hAnsi="仿宋_GB2312" w:eastAsia="仿宋_GB2312"/>
          <w:b w:val="0"/>
          <w:sz w:val="32"/>
        </w:rPr>
        <w:t>其中：年末财政拨款结转和结余0.00万元，本年财政拨款支出947.32万元。</w:t>
      </w:r>
    </w:p>
    <w:p w14:paraId="684B820D">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减少38.03万元，下降3.86%，主要原因是：本年在职人员减少，相关人员经费减少；机关运行补助经费</w:t>
      </w:r>
      <w:r>
        <w:rPr>
          <w:rFonts w:hint="eastAsia" w:ascii="仿宋_GB2312" w:hAnsi="仿宋_GB2312" w:eastAsia="仿宋_GB2312"/>
          <w:b w:val="0"/>
          <w:sz w:val="32"/>
          <w:lang w:eastAsia="zh-CN"/>
        </w:rPr>
        <w:t>项目</w:t>
      </w:r>
      <w:r>
        <w:rPr>
          <w:rFonts w:ascii="仿宋_GB2312" w:hAnsi="仿宋_GB2312" w:eastAsia="仿宋_GB2312"/>
          <w:b w:val="0"/>
          <w:sz w:val="32"/>
        </w:rPr>
        <w:t>减少，减少为民办实事经费，导致经费较上年减少。</w:t>
      </w:r>
      <w:r>
        <w:rPr>
          <w:rFonts w:ascii="仿宋_GB2312" w:hAnsi="仿宋_GB2312" w:eastAsia="仿宋_GB2312"/>
          <w:b/>
          <w:sz w:val="32"/>
        </w:rPr>
        <w:t>与年初预算相比，</w:t>
      </w:r>
      <w:r>
        <w:rPr>
          <w:rFonts w:ascii="仿宋_GB2312" w:hAnsi="仿宋_GB2312" w:eastAsia="仿宋_GB2312"/>
          <w:b w:val="0"/>
          <w:sz w:val="32"/>
        </w:rPr>
        <w:t>年初预算数910.54万元，决算数947.32万元，预决算差异率4.04%，主要原因是：年中追加业务办案经费及业务装备经费项目，导致预决算有差异。</w:t>
      </w:r>
    </w:p>
    <w:p w14:paraId="21811ECE">
      <w:pPr>
        <w:spacing w:line="640" w:lineRule="exact"/>
        <w:ind w:firstLine="640"/>
        <w:jc w:val="both"/>
        <w:outlineLvl w:val="2"/>
      </w:pPr>
      <w:r>
        <w:rPr>
          <w:rFonts w:ascii="黑体" w:hAnsi="黑体" w:eastAsia="黑体"/>
          <w:sz w:val="32"/>
        </w:rPr>
        <w:t>五、一般公共预算财政拨款支出决算情况说明</w:t>
      </w:r>
    </w:p>
    <w:p w14:paraId="3615C0FA">
      <w:pPr>
        <w:spacing w:line="640" w:lineRule="exact"/>
        <w:ind w:firstLine="640"/>
        <w:jc w:val="both"/>
        <w:outlineLvl w:val="3"/>
      </w:pPr>
      <w:r>
        <w:rPr>
          <w:rFonts w:ascii="楷体_GB2312" w:hAnsi="楷体_GB2312" w:eastAsia="楷体_GB2312"/>
          <w:b/>
          <w:sz w:val="32"/>
        </w:rPr>
        <w:t>（一）一般公共预算财政拨款支出决算总体情况</w:t>
      </w:r>
    </w:p>
    <w:p w14:paraId="39778FC5">
      <w:pPr>
        <w:spacing w:line="580" w:lineRule="exact"/>
        <w:ind w:firstLine="640"/>
        <w:jc w:val="both"/>
      </w:pPr>
      <w:r>
        <w:rPr>
          <w:rFonts w:ascii="仿宋_GB2312" w:hAnsi="仿宋_GB2312" w:eastAsia="仿宋_GB2312"/>
          <w:b/>
          <w:sz w:val="32"/>
        </w:rPr>
        <w:t>2024年度一般公共预算财政拨款支出947.32万元，</w:t>
      </w:r>
      <w:r>
        <w:rPr>
          <w:rFonts w:ascii="仿宋_GB2312" w:hAnsi="仿宋_GB2312" w:eastAsia="仿宋_GB2312"/>
          <w:b w:val="0"/>
          <w:sz w:val="32"/>
        </w:rPr>
        <w:t>占本年支出合计的86.75%。</w:t>
      </w:r>
      <w:r>
        <w:rPr>
          <w:rFonts w:ascii="仿宋_GB2312" w:hAnsi="仿宋_GB2312" w:eastAsia="仿宋_GB2312"/>
          <w:b/>
          <w:sz w:val="32"/>
        </w:rPr>
        <w:t>与上年相比，</w:t>
      </w:r>
      <w:r>
        <w:rPr>
          <w:rFonts w:ascii="仿宋_GB2312" w:hAnsi="仿宋_GB2312" w:eastAsia="仿宋_GB2312"/>
          <w:b w:val="0"/>
          <w:sz w:val="32"/>
        </w:rPr>
        <w:t>减少38.03万元，下降3.86%，主要原因是：本年在职人员减少，相关人员经费减少；机关运行补助经费项目减少，减少为民办实事经费，导致经费较上年减少。</w:t>
      </w:r>
      <w:r>
        <w:rPr>
          <w:rFonts w:ascii="仿宋_GB2312" w:hAnsi="仿宋_GB2312" w:eastAsia="仿宋_GB2312"/>
          <w:b/>
          <w:sz w:val="32"/>
        </w:rPr>
        <w:t>与年初预算相比,</w:t>
      </w:r>
      <w:r>
        <w:rPr>
          <w:rFonts w:ascii="仿宋_GB2312" w:hAnsi="仿宋_GB2312" w:eastAsia="仿宋_GB2312"/>
          <w:b w:val="0"/>
          <w:sz w:val="32"/>
        </w:rPr>
        <w:t>年初预算数910.54万元，决算数947.32万元，预决算差异率4.04%，主要原因是：年中追加业务办案经费及业务装备经费项目，导致预决算有差异。</w:t>
      </w:r>
    </w:p>
    <w:p w14:paraId="528A4C25">
      <w:pPr>
        <w:spacing w:line="640" w:lineRule="exact"/>
        <w:ind w:firstLine="640"/>
        <w:jc w:val="both"/>
        <w:outlineLvl w:val="3"/>
      </w:pPr>
      <w:r>
        <w:rPr>
          <w:rFonts w:ascii="楷体_GB2312" w:hAnsi="楷体_GB2312" w:eastAsia="楷体_GB2312"/>
          <w:b/>
          <w:sz w:val="32"/>
        </w:rPr>
        <w:t>（二）一般公共预算财政拨款支出决算结构情况</w:t>
      </w:r>
    </w:p>
    <w:p w14:paraId="31A59697">
      <w:pPr>
        <w:spacing w:line="580" w:lineRule="exact"/>
        <w:ind w:firstLine="640"/>
        <w:jc w:val="both"/>
      </w:pPr>
      <w:r>
        <w:rPr>
          <w:rFonts w:ascii="仿宋_GB2312" w:hAnsi="仿宋_GB2312" w:eastAsia="仿宋_GB2312"/>
          <w:b w:val="0"/>
          <w:sz w:val="32"/>
        </w:rPr>
        <w:t>1.公共安全支出(类)770.19万元,占81.30%。</w:t>
      </w:r>
    </w:p>
    <w:p w14:paraId="5B657D3C">
      <w:pPr>
        <w:spacing w:line="580" w:lineRule="exact"/>
        <w:ind w:firstLine="640"/>
        <w:jc w:val="both"/>
      </w:pPr>
      <w:r>
        <w:rPr>
          <w:rFonts w:ascii="仿宋_GB2312" w:hAnsi="仿宋_GB2312" w:eastAsia="仿宋_GB2312"/>
          <w:b w:val="0"/>
          <w:sz w:val="32"/>
        </w:rPr>
        <w:t>2.社会保障和就业支出(类)88.82万元,占9.38%。</w:t>
      </w:r>
    </w:p>
    <w:p w14:paraId="5527CBBD">
      <w:pPr>
        <w:spacing w:line="580" w:lineRule="exact"/>
        <w:ind w:firstLine="640"/>
        <w:jc w:val="both"/>
      </w:pPr>
      <w:r>
        <w:rPr>
          <w:rFonts w:ascii="仿宋_GB2312" w:hAnsi="仿宋_GB2312" w:eastAsia="仿宋_GB2312"/>
          <w:b w:val="0"/>
          <w:sz w:val="32"/>
        </w:rPr>
        <w:t>3.卫生健康支出(类)29.07万元,占3.07%。</w:t>
      </w:r>
    </w:p>
    <w:p w14:paraId="5F7B2C1A">
      <w:pPr>
        <w:spacing w:line="580" w:lineRule="exact"/>
        <w:ind w:firstLine="640"/>
        <w:jc w:val="both"/>
      </w:pPr>
      <w:r>
        <w:rPr>
          <w:rFonts w:ascii="仿宋_GB2312" w:hAnsi="仿宋_GB2312" w:eastAsia="仿宋_GB2312"/>
          <w:b w:val="0"/>
          <w:sz w:val="32"/>
        </w:rPr>
        <w:t>4.住房保障支出(类)44.72万元,占4.72%。</w:t>
      </w:r>
    </w:p>
    <w:p w14:paraId="4B6A68D0">
      <w:pPr>
        <w:spacing w:line="580" w:lineRule="exact"/>
        <w:ind w:firstLine="640"/>
        <w:jc w:val="both"/>
      </w:pPr>
      <w:r>
        <w:rPr>
          <w:rFonts w:ascii="仿宋_GB2312" w:hAnsi="仿宋_GB2312" w:eastAsia="仿宋_GB2312"/>
          <w:b w:val="0"/>
          <w:sz w:val="32"/>
        </w:rPr>
        <w:t>5.其他支出(类)14.52万元,占1.53%。</w:t>
      </w:r>
    </w:p>
    <w:p w14:paraId="2D718DB9">
      <w:pPr>
        <w:spacing w:line="640" w:lineRule="exact"/>
        <w:ind w:firstLine="640"/>
        <w:jc w:val="both"/>
        <w:outlineLvl w:val="3"/>
      </w:pPr>
      <w:r>
        <w:rPr>
          <w:rFonts w:ascii="楷体_GB2312" w:hAnsi="楷体_GB2312" w:eastAsia="楷体_GB2312"/>
          <w:b/>
          <w:sz w:val="32"/>
        </w:rPr>
        <w:t>（三）一般公共预算财政拨款支出决算具体情况</w:t>
      </w:r>
    </w:p>
    <w:p w14:paraId="414C9D6C">
      <w:pPr>
        <w:spacing w:line="580" w:lineRule="exact"/>
        <w:ind w:firstLine="640"/>
        <w:jc w:val="both"/>
      </w:pPr>
      <w:r>
        <w:rPr>
          <w:rFonts w:ascii="仿宋_GB2312" w:hAnsi="仿宋_GB2312" w:eastAsia="仿宋_GB2312"/>
          <w:b w:val="0"/>
          <w:sz w:val="32"/>
        </w:rPr>
        <w:t>1.公共安全支出(类)检察(款)行政运行(项):支出决算数为581.45万元，比上年决算减少12.01万元，下降2.02%,主要原因是：本年在职人员减少，相关人员经费减少。</w:t>
      </w:r>
    </w:p>
    <w:p w14:paraId="12685CBB">
      <w:pPr>
        <w:spacing w:line="580" w:lineRule="exact"/>
        <w:ind w:firstLine="640"/>
        <w:jc w:val="both"/>
      </w:pPr>
      <w:r>
        <w:rPr>
          <w:rFonts w:ascii="仿宋_GB2312" w:hAnsi="仿宋_GB2312" w:eastAsia="仿宋_GB2312"/>
          <w:b w:val="0"/>
          <w:sz w:val="32"/>
        </w:rPr>
        <w:t>2.公共安全支出(类)检察(款)一般行政管理事务(项):支出决算数为0.00万元，比上年决算减少36.00万元，下降100.00%,主要原因是：本年减少机关运行补助经费。</w:t>
      </w:r>
    </w:p>
    <w:p w14:paraId="5CAD1E47">
      <w:pPr>
        <w:spacing w:line="580" w:lineRule="exact"/>
        <w:ind w:firstLine="640"/>
        <w:jc w:val="both"/>
      </w:pPr>
      <w:r>
        <w:rPr>
          <w:rFonts w:ascii="仿宋_GB2312" w:hAnsi="仿宋_GB2312" w:eastAsia="仿宋_GB2312"/>
          <w:b w:val="0"/>
          <w:sz w:val="32"/>
        </w:rPr>
        <w:t>3.公共安全支出(类)检察(款)其他检察支出(项):支出决算数为188.75万元，比上年决算增加11.96万元，增长6.77%,主要原因是：本年案件量增加，业务办案经费及业务装备经费增加。</w:t>
      </w:r>
    </w:p>
    <w:p w14:paraId="02A033AE">
      <w:pPr>
        <w:spacing w:line="580" w:lineRule="exact"/>
        <w:ind w:firstLine="640"/>
        <w:jc w:val="both"/>
      </w:pPr>
      <w:r>
        <w:rPr>
          <w:rFonts w:ascii="仿宋_GB2312" w:hAnsi="仿宋_GB2312" w:eastAsia="仿宋_GB2312"/>
          <w:b w:val="0"/>
          <w:sz w:val="32"/>
        </w:rPr>
        <w:t>4.社会保障和就业支出(类)行政事业单位养老支出(款)行政单位离退休(项):支出决算数为9.61万元，比上年决算增加2.99万元，增长45.17%,主要原因是：本年退休人员增加，退休费支出增加。</w:t>
      </w:r>
    </w:p>
    <w:p w14:paraId="4211E030">
      <w:pPr>
        <w:spacing w:line="580" w:lineRule="exact"/>
        <w:ind w:firstLine="640"/>
        <w:jc w:val="both"/>
      </w:pPr>
      <w:r>
        <w:rPr>
          <w:rFonts w:ascii="仿宋_GB2312" w:hAnsi="仿宋_GB2312" w:eastAsia="仿宋_GB2312"/>
          <w:b w:val="0"/>
          <w:sz w:val="32"/>
        </w:rPr>
        <w:t>5.社会保障和就业支出(类)行政事业单位养老支出(款)机关事业单位基本养老保险缴费支出(项):支出决算数为48.36万元，比上年决算减少22.72万元，下降31.96%,主要原因是：本年功能科目调整，上年度</w:t>
      </w:r>
      <w:r>
        <w:rPr>
          <w:rFonts w:hint="eastAsia" w:ascii="仿宋_GB2312" w:hAnsi="仿宋_GB2312" w:eastAsia="仿宋_GB2312"/>
          <w:b w:val="0"/>
          <w:sz w:val="32"/>
          <w:lang w:val="en-US" w:eastAsia="zh-CN"/>
        </w:rPr>
        <w:t>部分</w:t>
      </w:r>
      <w:r>
        <w:rPr>
          <w:rFonts w:ascii="仿宋_GB2312" w:hAnsi="仿宋_GB2312" w:eastAsia="仿宋_GB2312"/>
          <w:b w:val="0"/>
          <w:sz w:val="32"/>
        </w:rPr>
        <w:t>职业年金缴费在养老保险缴费中列支，本年调整至机关事业单位职业年金缴费支出列支，导致经费较上年减少。在职人员减少，养老保险缴费减少。</w:t>
      </w:r>
    </w:p>
    <w:p w14:paraId="7574E574">
      <w:pPr>
        <w:spacing w:line="580" w:lineRule="exact"/>
        <w:ind w:firstLine="640"/>
        <w:jc w:val="both"/>
      </w:pPr>
      <w:r>
        <w:rPr>
          <w:rFonts w:ascii="仿宋_GB2312" w:hAnsi="仿宋_GB2312" w:eastAsia="仿宋_GB2312"/>
          <w:b w:val="0"/>
          <w:sz w:val="32"/>
        </w:rPr>
        <w:t>6.社会保障和就业支出(类)行政事业单位养老支出(款)机关事业单位职业年金缴费支出(项):支出决算数为30.86万元，比上年决算增加29.68万元，增长2,515.25%,主要原因是：本年功能科目调整，上年度</w:t>
      </w:r>
      <w:r>
        <w:rPr>
          <w:rFonts w:hint="eastAsia" w:ascii="仿宋_GB2312" w:hAnsi="仿宋_GB2312" w:eastAsia="仿宋_GB2312"/>
          <w:b w:val="0"/>
          <w:sz w:val="32"/>
          <w:lang w:val="en-US" w:eastAsia="zh-CN"/>
        </w:rPr>
        <w:t>部分</w:t>
      </w:r>
      <w:r>
        <w:rPr>
          <w:rFonts w:ascii="仿宋_GB2312" w:hAnsi="仿宋_GB2312" w:eastAsia="仿宋_GB2312"/>
          <w:b w:val="0"/>
          <w:sz w:val="32"/>
        </w:rPr>
        <w:t>职业年金缴费在养老保险缴费中列支，本年调整至机关事业单位职业年金缴费支出列支，导致经费较上年增加。</w:t>
      </w:r>
    </w:p>
    <w:p w14:paraId="1CD75942">
      <w:pPr>
        <w:spacing w:line="580" w:lineRule="exact"/>
        <w:ind w:firstLine="640"/>
        <w:jc w:val="both"/>
      </w:pPr>
      <w:r>
        <w:rPr>
          <w:rFonts w:ascii="仿宋_GB2312" w:hAnsi="仿宋_GB2312" w:eastAsia="仿宋_GB2312"/>
          <w:b w:val="0"/>
          <w:sz w:val="32"/>
        </w:rPr>
        <w:t>7.卫生健康支出(类)行政事业单位医疗(款)行政单位医疗(项):支出决算数为27.15万元，比上年决算增加2.93万元，增长12.10%,主要原因是：本年在职人员工资基数调增，医疗缴费基数上涨，相应支出增加。</w:t>
      </w:r>
    </w:p>
    <w:p w14:paraId="6E369A14">
      <w:pPr>
        <w:spacing w:line="580" w:lineRule="exact"/>
        <w:ind w:firstLine="640"/>
        <w:jc w:val="both"/>
      </w:pPr>
      <w:r>
        <w:rPr>
          <w:rFonts w:ascii="仿宋_GB2312" w:hAnsi="仿宋_GB2312" w:eastAsia="仿宋_GB2312"/>
          <w:b w:val="0"/>
          <w:sz w:val="32"/>
        </w:rPr>
        <w:t>8.卫生健康支出(类)行政事业单位医疗(款)公务员医疗补助(项):支出决算数为1.74万元，比上年决算增加0.14万元，增长8.75%,主要原因是：本年在职人员工资基数调增，医疗缴费基数上涨，相应支出增加。</w:t>
      </w:r>
    </w:p>
    <w:p w14:paraId="4349EC75">
      <w:pPr>
        <w:spacing w:line="580" w:lineRule="exact"/>
        <w:ind w:firstLine="640"/>
        <w:jc w:val="both"/>
      </w:pPr>
      <w:r>
        <w:rPr>
          <w:rFonts w:ascii="仿宋_GB2312" w:hAnsi="仿宋_GB2312" w:eastAsia="仿宋_GB2312"/>
          <w:b w:val="0"/>
          <w:sz w:val="32"/>
        </w:rPr>
        <w:t>9.卫生健康支出(类)行政事业单位医疗(款)其他行政事业单位医疗支出(项):支出决算数为0.17万元，比上年决算减少0.03万元，下降15.00%,主要原因是：本年在职人员减少2人，其他行政事业单位医疗支出较上年减少。</w:t>
      </w:r>
    </w:p>
    <w:p w14:paraId="34E30C0D">
      <w:pPr>
        <w:spacing w:line="580" w:lineRule="exact"/>
        <w:ind w:firstLine="640"/>
        <w:jc w:val="both"/>
      </w:pPr>
      <w:r>
        <w:rPr>
          <w:rFonts w:ascii="仿宋_GB2312" w:hAnsi="仿宋_GB2312" w:eastAsia="仿宋_GB2312"/>
          <w:b w:val="0"/>
          <w:sz w:val="32"/>
        </w:rPr>
        <w:t>10.住房保障支出(类)住房改革支出(款)住房公积金(项):支出决算数为44.72万元，比上年决算增加0.24万元，增长0.54%,主要原因是：本年在职人员工资基数调增，公积金缴费基数上涨，相应支出增加。</w:t>
      </w:r>
    </w:p>
    <w:p w14:paraId="00C3AAC8">
      <w:pPr>
        <w:spacing w:line="580" w:lineRule="exact"/>
        <w:ind w:firstLine="640"/>
        <w:jc w:val="both"/>
      </w:pPr>
      <w:r>
        <w:rPr>
          <w:rFonts w:ascii="仿宋_GB2312" w:hAnsi="仿宋_GB2312" w:eastAsia="仿宋_GB2312"/>
          <w:b w:val="0"/>
          <w:sz w:val="32"/>
        </w:rPr>
        <w:t>11.其他支出(类)其他支出(款)其他支出(项):支出决算数为14.52万元，比上年决算减少15.20万元，下降51.14%,主要原因是：本年减少为民办实事经费，相应支出减少。</w:t>
      </w:r>
    </w:p>
    <w:p w14:paraId="6764F2FE">
      <w:pPr>
        <w:spacing w:line="640" w:lineRule="exact"/>
        <w:ind w:firstLine="640"/>
        <w:jc w:val="both"/>
        <w:outlineLvl w:val="2"/>
      </w:pPr>
      <w:r>
        <w:rPr>
          <w:rFonts w:ascii="黑体" w:hAnsi="黑体" w:eastAsia="黑体"/>
          <w:sz w:val="32"/>
        </w:rPr>
        <w:t>六、一般公共预算财政拨款基本支出决算情况说明</w:t>
      </w:r>
    </w:p>
    <w:p w14:paraId="07A6010B">
      <w:pPr>
        <w:spacing w:line="580" w:lineRule="exact"/>
        <w:ind w:firstLine="640"/>
        <w:jc w:val="both"/>
      </w:pPr>
      <w:r>
        <w:rPr>
          <w:rFonts w:ascii="仿宋_GB2312" w:hAnsi="仿宋_GB2312" w:eastAsia="仿宋_GB2312"/>
          <w:b w:val="0"/>
          <w:sz w:val="32"/>
        </w:rPr>
        <w:t>2024年度一般公共预算财政拨款基本支出744.05万元，其中：</w:t>
      </w:r>
      <w:r>
        <w:rPr>
          <w:rFonts w:ascii="仿宋_GB2312" w:hAnsi="仿宋_GB2312" w:eastAsia="仿宋_GB2312"/>
          <w:b/>
          <w:sz w:val="32"/>
        </w:rPr>
        <w:t>人员经费661.65万元，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包括：基本工资、津贴补贴、奖金、机关事业单位基本养老保险缴费、职业年金缴费、职工基本医疗保险缴费、公务员医疗补助缴费、其他社会保障缴费、住房公积金、其他工资福利支出、退休费、奖励金。</w:t>
      </w:r>
    </w:p>
    <w:p w14:paraId="67261BAF">
      <w:pPr>
        <w:spacing w:line="580" w:lineRule="exact"/>
        <w:ind w:firstLine="640"/>
        <w:jc w:val="both"/>
      </w:pPr>
      <w:r>
        <w:rPr>
          <w:rFonts w:ascii="仿宋_GB2312" w:hAnsi="仿宋_GB2312" w:eastAsia="仿宋_GB2312"/>
          <w:b/>
          <w:sz w:val="32"/>
        </w:rPr>
        <w:t>公用经费82.40万元，</w:t>
      </w:r>
      <w:r>
        <w:rPr>
          <w:rFonts w:ascii="仿宋_GB2312" w:hAnsi="仿宋_GB2312" w:eastAsia="仿宋_GB2312"/>
          <w:b w:val="0"/>
          <w:sz w:val="32"/>
        </w:rPr>
        <w:t>包括：办公费、水费、电费、邮电费、取暖费、物业管理费、维修（护）费、公务接待费、劳务费、委托业务费、工会经费、福利费、其他商品和服务支出。</w:t>
      </w:r>
    </w:p>
    <w:p w14:paraId="5BB4E107">
      <w:pPr>
        <w:spacing w:line="640" w:lineRule="exact"/>
        <w:ind w:firstLine="640"/>
        <w:jc w:val="both"/>
        <w:outlineLvl w:val="2"/>
      </w:pPr>
      <w:r>
        <w:rPr>
          <w:rFonts w:ascii="黑体" w:hAnsi="黑体" w:eastAsia="黑体"/>
          <w:sz w:val="32"/>
        </w:rPr>
        <w:t>七、政府性基金预算财政拨款收入支出决算情况说明</w:t>
      </w:r>
    </w:p>
    <w:p w14:paraId="3564F27C">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3002ABD2">
      <w:pPr>
        <w:spacing w:line="640" w:lineRule="exact"/>
        <w:ind w:firstLine="640"/>
        <w:jc w:val="both"/>
        <w:outlineLvl w:val="2"/>
      </w:pPr>
      <w:r>
        <w:rPr>
          <w:rFonts w:ascii="黑体" w:hAnsi="黑体" w:eastAsia="黑体"/>
          <w:sz w:val="32"/>
        </w:rPr>
        <w:t>八、国有资本经营预算财政拨款收入支出决算情况说明</w:t>
      </w:r>
    </w:p>
    <w:p w14:paraId="1A5C5777">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2791C3AB">
      <w:pPr>
        <w:spacing w:line="640" w:lineRule="exact"/>
        <w:ind w:firstLine="640"/>
        <w:jc w:val="both"/>
        <w:outlineLvl w:val="2"/>
      </w:pPr>
      <w:r>
        <w:rPr>
          <w:rFonts w:ascii="黑体" w:hAnsi="黑体" w:eastAsia="黑体"/>
          <w:sz w:val="32"/>
        </w:rPr>
        <w:t>九、财政拨款“三公”经费支出决算情况说明</w:t>
      </w:r>
    </w:p>
    <w:p w14:paraId="050D0239">
      <w:pPr>
        <w:spacing w:line="580" w:lineRule="exact"/>
        <w:ind w:firstLine="640"/>
        <w:jc w:val="both"/>
      </w:pPr>
      <w:r>
        <w:rPr>
          <w:rFonts w:ascii="仿宋_GB2312" w:hAnsi="仿宋_GB2312" w:eastAsia="仿宋_GB2312"/>
          <w:b/>
          <w:sz w:val="32"/>
        </w:rPr>
        <w:t>2024年度财政拨款“三公”经费支出14.98万元，</w:t>
      </w:r>
      <w:r>
        <w:rPr>
          <w:rFonts w:ascii="仿宋_GB2312" w:hAnsi="仿宋_GB2312" w:eastAsia="仿宋_GB2312"/>
          <w:b w:val="0"/>
          <w:sz w:val="32"/>
        </w:rPr>
        <w:t>比上年增加0.30万元，增长2.04%，主要原因是：本年因业务需求，增加公务接待工作，导致公务接待费较上年增加。其中：因公出国（境）费支出0.00万元，占0.00%，比上年增加0.00万元，增长0.00%，主要原因是：2023年与2024年均未安排因公出国（境）费支出。公务用车购置及运行维护费支出14.68万元，占98.00%，比上年增加0.00万元，增长0.00%，主要原因是：</w:t>
      </w:r>
      <w:r>
        <w:rPr>
          <w:rFonts w:hint="eastAsia" w:ascii="仿宋_GB2312" w:hAnsi="仿宋_GB2312" w:eastAsia="仿宋_GB2312"/>
          <w:b w:val="0"/>
          <w:sz w:val="32"/>
          <w:lang w:eastAsia="zh-CN"/>
        </w:rPr>
        <w:t>本单位</w:t>
      </w:r>
      <w:r>
        <w:rPr>
          <w:rFonts w:ascii="仿宋_GB2312" w:hAnsi="仿宋_GB2312" w:eastAsia="仿宋_GB2312"/>
          <w:b w:val="0"/>
          <w:sz w:val="32"/>
        </w:rPr>
        <w:t>公务用车运行维护费与上年一致无变化。公务接待费支出0.30万元，占2.00%，比上年增加0.30万元，增长100.00%，主要原因是：本年因业务需求，增加公务接待工作，导致公务接待费较上年增加。</w:t>
      </w:r>
    </w:p>
    <w:p w14:paraId="6F46D6AA">
      <w:pPr>
        <w:spacing w:line="580" w:lineRule="exact"/>
        <w:ind w:firstLine="640"/>
        <w:jc w:val="both"/>
      </w:pPr>
      <w:r>
        <w:rPr>
          <w:rFonts w:ascii="仿宋_GB2312" w:hAnsi="仿宋_GB2312" w:eastAsia="仿宋_GB2312"/>
          <w:b/>
          <w:sz w:val="32"/>
        </w:rPr>
        <w:t>具体情况如下：</w:t>
      </w:r>
    </w:p>
    <w:p w14:paraId="42C918C2">
      <w:pPr>
        <w:spacing w:line="580" w:lineRule="exact"/>
        <w:ind w:firstLine="640"/>
        <w:jc w:val="both"/>
      </w:pPr>
      <w:r>
        <w:rPr>
          <w:rFonts w:ascii="仿宋_GB2312" w:hAnsi="仿宋_GB2312" w:eastAsia="仿宋_GB2312"/>
          <w:b w:val="0"/>
          <w:sz w:val="32"/>
        </w:rPr>
        <w:t>因公出国（境）费支出0.00万元，开支内容包括本单位无因公出国（境）费。单位全年安排的因公出国（境）团组0个，因公出国（境）0人次。</w:t>
      </w:r>
    </w:p>
    <w:p w14:paraId="20764952">
      <w:pPr>
        <w:spacing w:line="580" w:lineRule="exact"/>
        <w:ind w:firstLine="640"/>
        <w:jc w:val="both"/>
      </w:pPr>
      <w:r>
        <w:rPr>
          <w:rFonts w:ascii="仿宋_GB2312" w:hAnsi="仿宋_GB2312" w:eastAsia="仿宋_GB2312"/>
          <w:b w:val="0"/>
          <w:sz w:val="32"/>
        </w:rPr>
        <w:t>公务用车购置及运行维护费14.68万元，其中：公务用车购置费0.00万元，公务用车运行维护费14.68万元。公务用车运行维护费开支内容包括车辆加油费、维修费、保险费、审车费、过路费等。公务用车购置数0辆，公务用车保有量8辆。国有资产占用情况中固定资产车辆8辆，与公务用车保有量差异原因是：本单位固定资产车辆与公务用车保有量一致无差异。</w:t>
      </w:r>
    </w:p>
    <w:p w14:paraId="5240FCCD">
      <w:pPr>
        <w:spacing w:line="580" w:lineRule="exact"/>
        <w:ind w:firstLine="640"/>
        <w:jc w:val="both"/>
      </w:pPr>
      <w:r>
        <w:rPr>
          <w:rFonts w:ascii="仿宋_GB2312" w:hAnsi="仿宋_GB2312" w:eastAsia="仿宋_GB2312"/>
          <w:b w:val="0"/>
          <w:sz w:val="32"/>
        </w:rPr>
        <w:t>公务接待费0.30万元，开支内容包括因福建省院来</w:t>
      </w:r>
      <w:r>
        <w:rPr>
          <w:rFonts w:hint="eastAsia" w:ascii="仿宋_GB2312" w:hAnsi="仿宋_GB2312" w:eastAsia="仿宋_GB2312"/>
          <w:b w:val="0"/>
          <w:sz w:val="32"/>
          <w:lang w:eastAsia="zh-CN"/>
        </w:rPr>
        <w:t>本单位</w:t>
      </w:r>
      <w:r>
        <w:rPr>
          <w:rFonts w:ascii="仿宋_GB2312" w:hAnsi="仿宋_GB2312" w:eastAsia="仿宋_GB2312"/>
          <w:b w:val="0"/>
          <w:sz w:val="32"/>
        </w:rPr>
        <w:t>考察学习，接待上级领导产生的就餐费。单位全年安排的国内公务接待5批次，47人次。</w:t>
      </w:r>
    </w:p>
    <w:p w14:paraId="6EC04DD8">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14.98万元，决算数14.98万元，预决算差异率0.00%，主要原因是：严格按照预算执行，预决算无差异。其中：因公出国（境）费全年预算数0.00万元，决算数0.00万元，预决算差异率0.00%，主要原因是：本单位无因公出国（境）费。公务用车购置费全年预算数0.00万元，决算数0.00万元，预决算差异率0.00%，主要原因是：本单位无公务用车购置费。公务用车运行维护费全年预算数14.68万元，决算数14.68万元，预决算差异率0.00%，主要原因是：严格按照预算执行，预决算无差异。公务接待费全年预算数0.30万元，决算数0.30万元，预决算差异率0.00%，主要原因是：严格按照预算执行，预决算无差异。</w:t>
      </w:r>
    </w:p>
    <w:p w14:paraId="14C90C5D">
      <w:pPr>
        <w:spacing w:line="640" w:lineRule="exact"/>
        <w:ind w:firstLine="640"/>
        <w:jc w:val="both"/>
        <w:outlineLvl w:val="2"/>
      </w:pPr>
      <w:r>
        <w:rPr>
          <w:rFonts w:ascii="黑体" w:hAnsi="黑体" w:eastAsia="黑体"/>
          <w:sz w:val="32"/>
        </w:rPr>
        <w:t>十、其他重要事项的情况说明</w:t>
      </w:r>
    </w:p>
    <w:p w14:paraId="04BB53F8">
      <w:pPr>
        <w:spacing w:line="640" w:lineRule="exact"/>
        <w:ind w:firstLine="640"/>
        <w:jc w:val="both"/>
        <w:outlineLvl w:val="3"/>
      </w:pPr>
      <w:r>
        <w:rPr>
          <w:rFonts w:ascii="楷体_GB2312" w:hAnsi="楷体_GB2312" w:eastAsia="楷体_GB2312"/>
          <w:b/>
          <w:sz w:val="32"/>
        </w:rPr>
        <w:t>（一）机关运行经费及公用经费支出情况</w:t>
      </w:r>
    </w:p>
    <w:p w14:paraId="3B38D68F">
      <w:pPr>
        <w:spacing w:line="580" w:lineRule="exact"/>
        <w:ind w:firstLine="640"/>
        <w:jc w:val="both"/>
      </w:pPr>
      <w:r>
        <w:rPr>
          <w:rFonts w:ascii="仿宋_GB2312" w:hAnsi="仿宋_GB2312" w:eastAsia="仿宋_GB2312"/>
          <w:b w:val="0"/>
          <w:sz w:val="32"/>
        </w:rPr>
        <w:t>2024年度呼图壁县人民检察院（行政单位和参照公务员法管理事业单位）机关运行经费支出82.40万元，比上年增加1.72万元，增长2.13%，主要原因是：本年度物业管理费增加，导致公用经费增加。</w:t>
      </w:r>
    </w:p>
    <w:p w14:paraId="70B490B8">
      <w:pPr>
        <w:spacing w:line="640" w:lineRule="exact"/>
        <w:ind w:firstLine="640"/>
        <w:jc w:val="both"/>
        <w:outlineLvl w:val="3"/>
      </w:pPr>
      <w:r>
        <w:rPr>
          <w:rFonts w:ascii="楷体_GB2312" w:hAnsi="楷体_GB2312" w:eastAsia="楷体_GB2312"/>
          <w:b/>
          <w:sz w:val="32"/>
        </w:rPr>
        <w:t>（二）政府采购情况</w:t>
      </w:r>
    </w:p>
    <w:p w14:paraId="738C7CB4">
      <w:pPr>
        <w:spacing w:line="580" w:lineRule="exact"/>
        <w:ind w:firstLine="640"/>
        <w:jc w:val="both"/>
      </w:pPr>
      <w:r>
        <w:rPr>
          <w:rFonts w:ascii="仿宋_GB2312" w:hAnsi="仿宋_GB2312" w:eastAsia="仿宋_GB2312"/>
          <w:b w:val="0"/>
          <w:sz w:val="32"/>
        </w:rPr>
        <w:t>2024年度政府采购支出总额24.94万元，其中：政府采购货物支出5.55万元、政府采购工程支出0.87万元、政府采购服务支出18.53万元。</w:t>
      </w:r>
    </w:p>
    <w:p w14:paraId="11A4A46F">
      <w:pPr>
        <w:spacing w:line="580" w:lineRule="exact"/>
        <w:ind w:firstLine="640"/>
        <w:jc w:val="both"/>
      </w:pPr>
      <w:r>
        <w:rPr>
          <w:rFonts w:ascii="仿宋_GB2312" w:hAnsi="仿宋_GB2312" w:eastAsia="仿宋_GB2312"/>
          <w:b w:val="0"/>
          <w:sz w:val="32"/>
        </w:rPr>
        <w:t>授予中小企业合同金额24.94万元，占政府采购支出总额的100.00%，其中：授予小微企业合同金额24.94万元，占政府采购支出总额的100.00%。</w:t>
      </w:r>
    </w:p>
    <w:p w14:paraId="45112CE3">
      <w:pPr>
        <w:spacing w:line="640" w:lineRule="exact"/>
        <w:ind w:firstLine="640"/>
        <w:jc w:val="both"/>
        <w:outlineLvl w:val="3"/>
      </w:pPr>
      <w:r>
        <w:rPr>
          <w:rFonts w:ascii="楷体_GB2312" w:hAnsi="楷体_GB2312" w:eastAsia="楷体_GB2312"/>
          <w:b/>
          <w:sz w:val="32"/>
        </w:rPr>
        <w:t>（三）国有资产占用情况说明</w:t>
      </w:r>
    </w:p>
    <w:p w14:paraId="58AFBCA7">
      <w:pPr>
        <w:spacing w:line="580" w:lineRule="exact"/>
        <w:ind w:firstLine="640"/>
        <w:jc w:val="both"/>
      </w:pPr>
      <w:r>
        <w:rPr>
          <w:rFonts w:ascii="仿宋_GB2312" w:hAnsi="仿宋_GB2312" w:eastAsia="仿宋_GB2312"/>
          <w:b w:val="0"/>
          <w:sz w:val="32"/>
        </w:rPr>
        <w:t>截至2024年12月31日，房屋4,368.27平方米，价值703.68万元。车辆8辆，价值149.61万元，其中：副部（省）级及以上领导用车0辆、主要负责人用车0辆、机要通信用车0辆、应急保障用车0辆、执法执勤用车5辆、特种专业技术用车1辆、离退休干部服务用车0辆、其他用车2辆，其他用车主要是：一般公务用车。单价100万元（含）以上设备（不含车辆）0台（套）。</w:t>
      </w:r>
    </w:p>
    <w:p w14:paraId="527A9AEA">
      <w:pPr>
        <w:spacing w:line="640" w:lineRule="exact"/>
        <w:ind w:firstLine="640"/>
        <w:jc w:val="both"/>
        <w:outlineLvl w:val="2"/>
      </w:pPr>
      <w:r>
        <w:rPr>
          <w:rFonts w:ascii="黑体" w:hAnsi="黑体" w:eastAsia="黑体"/>
          <w:sz w:val="32"/>
        </w:rPr>
        <w:t>十一、预算绩效的情况说明</w:t>
      </w:r>
    </w:p>
    <w:p w14:paraId="386CFE82">
      <w:pPr>
        <w:spacing w:line="580" w:lineRule="exact"/>
        <w:ind w:firstLine="640"/>
        <w:jc w:val="both"/>
      </w:pPr>
      <w:r>
        <w:rPr>
          <w:rFonts w:ascii="仿宋_GB2312" w:hAnsi="仿宋_GB2312" w:eastAsia="仿宋_GB2312"/>
          <w:b w:val="0"/>
          <w:sz w:val="32"/>
        </w:rPr>
        <w:t>根据预算绩效管理要求，本单位2024年度预算绩效管理形成整体支出绩效自评表1个，全年预算总额1,253.04万元，实际执行总额1,091.99万元；预算绩效评价项目</w:t>
      </w:r>
      <w:r>
        <w:rPr>
          <w:rFonts w:hint="eastAsia" w:ascii="仿宋_GB2312" w:hAnsi="仿宋_GB2312" w:eastAsia="仿宋_GB2312"/>
          <w:b w:val="0"/>
          <w:sz w:val="32"/>
          <w:lang w:val="en-US" w:eastAsia="zh-CN"/>
        </w:rPr>
        <w:t>2</w:t>
      </w:r>
      <w:r>
        <w:rPr>
          <w:rFonts w:ascii="仿宋_GB2312" w:hAnsi="仿宋_GB2312" w:eastAsia="仿宋_GB2312"/>
          <w:b w:val="0"/>
          <w:sz w:val="32"/>
        </w:rPr>
        <w:t>个，全年预算数</w:t>
      </w:r>
      <w:r>
        <w:rPr>
          <w:rFonts w:hint="eastAsia" w:ascii="仿宋_GB2312" w:hAnsi="仿宋_GB2312" w:eastAsia="仿宋_GB2312"/>
          <w:b w:val="0"/>
          <w:sz w:val="32"/>
        </w:rPr>
        <w:t>390.66</w:t>
      </w:r>
      <w:r>
        <w:rPr>
          <w:rFonts w:ascii="仿宋_GB2312" w:hAnsi="仿宋_GB2312" w:eastAsia="仿宋_GB2312"/>
          <w:b w:val="0"/>
          <w:sz w:val="32"/>
        </w:rPr>
        <w:t>万元，全年执行数</w:t>
      </w:r>
      <w:r>
        <w:rPr>
          <w:rFonts w:hint="eastAsia" w:ascii="仿宋_GB2312" w:hAnsi="仿宋_GB2312" w:eastAsia="仿宋_GB2312"/>
          <w:b w:val="0"/>
          <w:sz w:val="32"/>
        </w:rPr>
        <w:t>333.42</w:t>
      </w:r>
      <w:r>
        <w:rPr>
          <w:rFonts w:ascii="仿宋_GB2312" w:hAnsi="仿宋_GB2312" w:eastAsia="仿宋_GB2312"/>
          <w:b w:val="0"/>
          <w:sz w:val="32"/>
        </w:rPr>
        <w:t>万元。预算绩效管理取得的成效：一是聚焦重点任务，推动项目工作落地落实。为有效推进项目工作开展，提高财政资金使用效益，项目领导小组进一步强化项目意识，对照计划全面梳理重点任务，仔细谋划、紧抓落实，理顺内部分工和工作流程，明确责任和时间节点，一项一项抓好具体落实，确保了项目按时保质完成，保障了项目效益发挥。二是坚持问题导向，加强执行监控，提高资金效益。紧抓预算执行动态监控，提高资金使用效益。坚持以问题为导向，以财政部门的绩效监控为契机，通过资料审核对资金执行进度及绩效目标实现程度开展审核，对绩效监控中发现的问题及时整改，强化资金使用过程管理，</w:t>
      </w:r>
      <w:r>
        <w:rPr>
          <w:rFonts w:hint="eastAsia" w:ascii="仿宋_GB2312" w:hAnsi="仿宋_GB2312" w:eastAsia="仿宋_GB2312"/>
          <w:b w:val="0"/>
          <w:sz w:val="32"/>
          <w:lang w:eastAsia="zh-CN"/>
        </w:rPr>
        <w:t>有效</w:t>
      </w:r>
      <w:r>
        <w:rPr>
          <w:rFonts w:ascii="仿宋_GB2312" w:hAnsi="仿宋_GB2312" w:eastAsia="仿宋_GB2312"/>
          <w:b w:val="0"/>
          <w:sz w:val="32"/>
        </w:rPr>
        <w:t>降低资金偏离政策目标的风险，提高了资金使用效益。三是强化绩效目标刚性约束，及时对项目进行跟踪问效。加强绩效目标的刚性约束，及时对项目实施进度与资金支付进度进行全程跟踪问效，发现问题及时解决，</w:t>
      </w:r>
      <w:r>
        <w:rPr>
          <w:rFonts w:hint="eastAsia" w:ascii="仿宋_GB2312" w:hAnsi="仿宋_GB2312" w:eastAsia="仿宋_GB2312"/>
          <w:b w:val="0"/>
          <w:sz w:val="32"/>
          <w:lang w:eastAsia="zh-CN"/>
        </w:rPr>
        <w:t>对</w:t>
      </w:r>
      <w:r>
        <w:rPr>
          <w:rFonts w:ascii="仿宋_GB2312" w:hAnsi="仿宋_GB2312" w:eastAsia="仿宋_GB2312"/>
          <w:b w:val="0"/>
          <w:sz w:val="32"/>
        </w:rPr>
        <w:t>重大问题实行集体讨论，确保项目按计划进行，项目资金支付安排高效、合理，杜绝截留、挤占或挪用项目资金的情况发生。四是健全项目管理制度。</w:t>
      </w:r>
      <w:r>
        <w:rPr>
          <w:rFonts w:hint="eastAsia" w:ascii="仿宋_GB2312" w:hAnsi="仿宋_GB2312" w:eastAsia="仿宋_GB2312"/>
          <w:b w:val="0"/>
          <w:sz w:val="32"/>
          <w:lang w:eastAsia="zh-CN"/>
        </w:rPr>
        <w:t>本单位</w:t>
      </w:r>
      <w:r>
        <w:rPr>
          <w:rFonts w:ascii="仿宋_GB2312" w:hAnsi="仿宋_GB2312" w:eastAsia="仿宋_GB2312"/>
          <w:b w:val="0"/>
          <w:sz w:val="32"/>
        </w:rPr>
        <w:t>已有保证项目实施的制度、措施等，如《中华人民共和国预算法</w:t>
      </w:r>
      <w:r>
        <w:rPr>
          <w:rFonts w:hint="eastAsia" w:ascii="仿宋_GB2312" w:hAnsi="仿宋_GB2312" w:eastAsia="仿宋_GB2312"/>
          <w:b w:val="0"/>
          <w:sz w:val="32"/>
          <w:lang w:eastAsia="zh-CN"/>
        </w:rPr>
        <w:t>》《</w:t>
      </w:r>
      <w:r>
        <w:rPr>
          <w:rFonts w:ascii="仿宋_GB2312" w:hAnsi="仿宋_GB2312" w:eastAsia="仿宋_GB2312"/>
          <w:b w:val="0"/>
          <w:sz w:val="32"/>
        </w:rPr>
        <w:t>预算管理办法》等。发现的问题及原因：一是本单位为全额拨款单位，年初的项目预算没有足额纳入预算，导致项目经费实际执行数大于年初预算数。二是财政年初人员经费预算调整，年中追加人员经费，导致执行数大于年初预算数。三是绩效指标的明确性、可衡量性、相关性还需进一步提升。预算精细化管理还需完善，预算编制管理水平仍有进一步提升的空间。四是业务人员绩效管理意识有待增强，未能全面深入认识理解绩效管理工作的意义。绩效管理经验不足，预算绩效管理工作有待进一步落实。下一步改进措施：一是加强预算绩效目标管理工作。明确预算项目绩效目标编制要求，分类别建立科学合理、细化量化、可比可测预算绩效指标体系，突出结果导向，重点考核实绩。二是强化预算绩效执行工作，指定专人负责预算执行监督管理，进一步推动预算绩效管理工作。三是加强绩效业务学习及培训，提高业务人员绩效管理意识，进一步加强预算绩效管理工作，优化项目支出绩效指标体系，完善预算绩效管理制度，有效推动</w:t>
      </w:r>
      <w:r>
        <w:rPr>
          <w:rFonts w:hint="eastAsia" w:ascii="仿宋_GB2312" w:hAnsi="仿宋_GB2312" w:eastAsia="仿宋_GB2312"/>
          <w:b w:val="0"/>
          <w:sz w:val="32"/>
          <w:lang w:eastAsia="zh-CN"/>
        </w:rPr>
        <w:t>本单位</w:t>
      </w:r>
      <w:r>
        <w:rPr>
          <w:rFonts w:ascii="仿宋_GB2312" w:hAnsi="仿宋_GB2312" w:eastAsia="仿宋_GB2312"/>
          <w:b w:val="0"/>
          <w:sz w:val="32"/>
        </w:rPr>
        <w:t>下一年度预算绩效管理工作常态化、规范化。具体附整体支出绩效自评表，项目支出绩效自评表和评价报告。</w:t>
      </w:r>
    </w:p>
    <w:p w14:paraId="7388DF18">
      <w:r>
        <w:br w:type="page"/>
      </w:r>
    </w:p>
    <w:tbl>
      <w:tblPr>
        <w:tblStyle w:val="9"/>
        <w:tblW w:w="0" w:type="auto"/>
        <w:tblInd w:w="0" w:type="dxa"/>
        <w:tblLayout w:type="autofit"/>
        <w:tblCellMar>
          <w:top w:w="0" w:type="dxa"/>
          <w:left w:w="108" w:type="dxa"/>
          <w:bottom w:w="0" w:type="dxa"/>
          <w:right w:w="108" w:type="dxa"/>
        </w:tblCellMar>
      </w:tblPr>
      <w:tblGrid>
        <w:gridCol w:w="983"/>
        <w:gridCol w:w="983"/>
        <w:gridCol w:w="983"/>
        <w:gridCol w:w="983"/>
        <w:gridCol w:w="983"/>
        <w:gridCol w:w="983"/>
        <w:gridCol w:w="983"/>
        <w:gridCol w:w="983"/>
        <w:gridCol w:w="983"/>
      </w:tblGrid>
      <w:tr w14:paraId="04390974">
        <w:tblPrEx>
          <w:tblCellMar>
            <w:top w:w="0" w:type="dxa"/>
            <w:left w:w="108" w:type="dxa"/>
            <w:bottom w:w="0" w:type="dxa"/>
            <w:right w:w="108" w:type="dxa"/>
          </w:tblCellMar>
        </w:tblPrEx>
        <w:tc>
          <w:tcPr>
            <w:tcW w:w="8847" w:type="dxa"/>
            <w:gridSpan w:val="9"/>
            <w:vAlign w:val="center"/>
          </w:tcPr>
          <w:p w14:paraId="03C88EF5">
            <w:pPr>
              <w:jc w:val="center"/>
            </w:pPr>
            <w:r>
              <w:rPr>
                <w:rFonts w:ascii="宋体" w:hAnsi="宋体" w:eastAsia="宋体"/>
                <w:sz w:val="24"/>
              </w:rPr>
              <w:t>单位整体支出绩效自评表</w:t>
            </w:r>
          </w:p>
        </w:tc>
      </w:tr>
      <w:tr w14:paraId="26E8BA7B">
        <w:tblPrEx>
          <w:tblCellMar>
            <w:top w:w="0" w:type="dxa"/>
            <w:left w:w="108" w:type="dxa"/>
            <w:bottom w:w="0" w:type="dxa"/>
            <w:right w:w="108" w:type="dxa"/>
          </w:tblCellMar>
        </w:tblPrEx>
        <w:tc>
          <w:tcPr>
            <w:tcW w:w="8847" w:type="dxa"/>
            <w:gridSpan w:val="9"/>
            <w:vAlign w:val="center"/>
          </w:tcPr>
          <w:p w14:paraId="40934C58">
            <w:pPr>
              <w:jc w:val="center"/>
            </w:pPr>
            <w:r>
              <w:rPr>
                <w:rFonts w:ascii="宋体" w:hAnsi="宋体" w:eastAsia="宋体"/>
                <w:sz w:val="24"/>
              </w:rPr>
              <w:t>（2024年度）</w:t>
            </w:r>
          </w:p>
        </w:tc>
      </w:tr>
      <w:tr w14:paraId="1BB48A5E">
        <w:tblPrEx>
          <w:tblCellMar>
            <w:top w:w="0" w:type="dxa"/>
            <w:left w:w="108" w:type="dxa"/>
            <w:bottom w:w="0" w:type="dxa"/>
            <w:right w:w="108" w:type="dxa"/>
          </w:tblCellMar>
        </w:tblPrEx>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97E7B5">
            <w:pPr>
              <w:jc w:val="center"/>
            </w:pPr>
            <w:r>
              <w:rPr>
                <w:rFonts w:ascii="宋体" w:hAnsi="宋体" w:eastAsia="宋体"/>
                <w:sz w:val="16"/>
              </w:rPr>
              <w:t>单位名称</w:t>
            </w:r>
          </w:p>
        </w:tc>
        <w:tc>
          <w:tcPr>
            <w:tcW w:w="7864"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5BBB7EB9">
            <w:pPr>
              <w:jc w:val="center"/>
            </w:pPr>
            <w:r>
              <w:rPr>
                <w:rFonts w:ascii="宋体" w:hAnsi="宋体" w:eastAsia="宋体"/>
                <w:sz w:val="16"/>
              </w:rPr>
              <w:t>呼图壁县人民检察院</w:t>
            </w:r>
          </w:p>
        </w:tc>
      </w:tr>
      <w:tr w14:paraId="5228DA85">
        <w:tblPrEx>
          <w:tblCellMar>
            <w:top w:w="0" w:type="dxa"/>
            <w:left w:w="108" w:type="dxa"/>
            <w:bottom w:w="0" w:type="dxa"/>
            <w:right w:w="108" w:type="dxa"/>
          </w:tblCellMar>
        </w:tblPrEx>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029D65">
            <w:pPr>
              <w:jc w:val="center"/>
            </w:pPr>
            <w:r>
              <w:rPr>
                <w:rFonts w:ascii="宋体" w:hAnsi="宋体" w:eastAsia="宋体"/>
                <w:sz w:val="16"/>
              </w:rPr>
              <w:t>部门资金（万元）</w:t>
            </w:r>
          </w:p>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B4D2A2">
            <w:pPr>
              <w:jc w:val="center"/>
            </w:pPr>
            <w:r>
              <w:rPr>
                <w:rFonts w:ascii="宋体" w:hAnsi="宋体" w:eastAsia="宋体"/>
                <w:sz w:val="16"/>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2010EA">
            <w:pPr>
              <w:jc w:val="center"/>
            </w:pPr>
            <w:r>
              <w:rPr>
                <w:rFonts w:ascii="宋体" w:hAnsi="宋体" w:eastAsia="宋体"/>
                <w:sz w:val="16"/>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4A1012E">
            <w:pPr>
              <w:jc w:val="center"/>
            </w:pPr>
            <w:r>
              <w:rPr>
                <w:rFonts w:ascii="宋体" w:hAnsi="宋体" w:eastAsia="宋体"/>
                <w:sz w:val="16"/>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37FA92">
            <w:pPr>
              <w:jc w:val="center"/>
            </w:pPr>
            <w:r>
              <w:rPr>
                <w:rFonts w:ascii="宋体" w:hAnsi="宋体" w:eastAsia="宋体"/>
                <w:sz w:val="16"/>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16256FE">
            <w:pPr>
              <w:jc w:val="center"/>
            </w:pPr>
            <w:r>
              <w:rPr>
                <w:rFonts w:ascii="宋体" w:hAnsi="宋体" w:eastAsia="宋体"/>
                <w:sz w:val="16"/>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228B332">
            <w:pPr>
              <w:jc w:val="center"/>
            </w:pPr>
            <w:r>
              <w:rPr>
                <w:rFonts w:ascii="宋体" w:hAnsi="宋体" w:eastAsia="宋体"/>
                <w:sz w:val="16"/>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75ACC85">
            <w:pPr>
              <w:jc w:val="center"/>
            </w:pPr>
            <w:r>
              <w:rPr>
                <w:rFonts w:ascii="宋体" w:hAnsi="宋体" w:eastAsia="宋体"/>
                <w:sz w:val="16"/>
              </w:rPr>
              <w:t>得分</w:t>
            </w:r>
          </w:p>
        </w:tc>
      </w:tr>
      <w:tr w14:paraId="432624AB">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72B31A6"/>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A72D8F">
            <w:pPr>
              <w:jc w:val="center"/>
            </w:pPr>
            <w:r>
              <w:rPr>
                <w:rFonts w:ascii="宋体" w:hAnsi="宋体" w:eastAsia="宋体"/>
                <w:sz w:val="16"/>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6694E77">
            <w:pPr>
              <w:jc w:val="center"/>
            </w:pPr>
            <w:r>
              <w:rPr>
                <w:rFonts w:ascii="宋体" w:hAnsi="宋体" w:eastAsia="宋体"/>
                <w:sz w:val="16"/>
              </w:rPr>
              <w:t>155.05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198EF5C">
            <w:pPr>
              <w:jc w:val="center"/>
            </w:pPr>
            <w:r>
              <w:rPr>
                <w:rFonts w:ascii="宋体" w:hAnsi="宋体" w:eastAsia="宋体"/>
                <w:sz w:val="16"/>
              </w:rPr>
              <w:t>204.00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901656C">
            <w:pPr>
              <w:jc w:val="center"/>
            </w:pPr>
            <w:r>
              <w:rPr>
                <w:rFonts w:ascii="宋体" w:hAnsi="宋体" w:eastAsia="宋体"/>
                <w:sz w:val="16"/>
              </w:rPr>
              <w:t>203.27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6FBDD7D">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D44B4A6">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2CC5477">
            <w:pPr>
              <w:jc w:val="center"/>
            </w:pPr>
            <w:r>
              <w:rPr>
                <w:rFonts w:ascii="宋体" w:hAnsi="宋体" w:eastAsia="宋体"/>
                <w:sz w:val="16"/>
              </w:rPr>
              <w:t>-</w:t>
            </w:r>
          </w:p>
        </w:tc>
      </w:tr>
      <w:tr w14:paraId="637C8E74">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E74F2DE"/>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33169D">
            <w:pPr>
              <w:jc w:val="center"/>
            </w:pPr>
            <w:r>
              <w:rPr>
                <w:rFonts w:ascii="宋体" w:hAnsi="宋体" w:eastAsia="宋体"/>
                <w:sz w:val="16"/>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55AD351">
            <w:pPr>
              <w:jc w:val="center"/>
            </w:pPr>
            <w:r>
              <w:rPr>
                <w:rFonts w:ascii="宋体" w:hAnsi="宋体" w:eastAsia="宋体"/>
                <w:sz w:val="16"/>
              </w:rPr>
              <w:t>755.49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B2D545A">
            <w:pPr>
              <w:jc w:val="center"/>
            </w:pPr>
            <w:r>
              <w:rPr>
                <w:rFonts w:ascii="宋体" w:hAnsi="宋体" w:eastAsia="宋体"/>
                <w:sz w:val="16"/>
              </w:rPr>
              <w:t>847.38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FFFFF4">
            <w:pPr>
              <w:jc w:val="center"/>
            </w:pPr>
            <w:r>
              <w:rPr>
                <w:rFonts w:ascii="宋体" w:hAnsi="宋体" w:eastAsia="宋体"/>
                <w:sz w:val="16"/>
              </w:rPr>
              <w:t>744.05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04DA4A4">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0A8C81">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FA4FB5">
            <w:pPr>
              <w:jc w:val="center"/>
            </w:pPr>
            <w:r>
              <w:rPr>
                <w:rFonts w:ascii="宋体" w:hAnsi="宋体" w:eastAsia="宋体"/>
                <w:sz w:val="16"/>
              </w:rPr>
              <w:t>-</w:t>
            </w:r>
          </w:p>
        </w:tc>
      </w:tr>
      <w:tr w14:paraId="7024A2B0">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5EE7468"/>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159244">
            <w:pPr>
              <w:jc w:val="center"/>
            </w:pPr>
            <w:r>
              <w:rPr>
                <w:rFonts w:ascii="宋体" w:hAnsi="宋体" w:eastAsia="宋体"/>
                <w:sz w:val="16"/>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7DF6DDD">
            <w:pPr>
              <w:jc w:val="center"/>
            </w:pPr>
            <w:r>
              <w:rPr>
                <w:rFonts w:ascii="宋体" w:hAnsi="宋体" w:eastAsia="宋体"/>
                <w:sz w:val="16"/>
              </w:rPr>
              <w:t>229.84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9BE3138">
            <w:pPr>
              <w:jc w:val="center"/>
            </w:pPr>
            <w:r>
              <w:rPr>
                <w:rFonts w:ascii="宋体" w:hAnsi="宋体" w:eastAsia="宋体"/>
                <w:sz w:val="16"/>
              </w:rPr>
              <w:t>201.66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BD995A">
            <w:pPr>
              <w:jc w:val="center"/>
            </w:pPr>
            <w:r>
              <w:rPr>
                <w:rFonts w:ascii="宋体" w:hAnsi="宋体" w:eastAsia="宋体"/>
                <w:sz w:val="16"/>
              </w:rPr>
              <w:t>144.67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5477EA0">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C677C63">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57BF893">
            <w:pPr>
              <w:jc w:val="center"/>
            </w:pPr>
            <w:r>
              <w:rPr>
                <w:rFonts w:ascii="宋体" w:hAnsi="宋体" w:eastAsia="宋体"/>
                <w:sz w:val="16"/>
              </w:rPr>
              <w:t>-</w:t>
            </w:r>
          </w:p>
        </w:tc>
      </w:tr>
      <w:tr w14:paraId="413F76B2">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FEA85B1"/>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B82B20">
            <w:pPr>
              <w:jc w:val="center"/>
            </w:pPr>
            <w:r>
              <w:rPr>
                <w:rFonts w:ascii="宋体" w:hAnsi="宋体" w:eastAsia="宋体"/>
                <w:sz w:val="16"/>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1406653">
            <w:pPr>
              <w:jc w:val="center"/>
            </w:pPr>
            <w:r>
              <w:rPr>
                <w:rFonts w:ascii="宋体" w:hAnsi="宋体" w:eastAsia="宋体"/>
                <w:sz w:val="16"/>
              </w:rPr>
              <w:t>1,140.38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EFB346C">
            <w:pPr>
              <w:jc w:val="center"/>
            </w:pPr>
            <w:r>
              <w:rPr>
                <w:rFonts w:ascii="宋体" w:hAnsi="宋体" w:eastAsia="宋体"/>
                <w:sz w:val="16"/>
              </w:rPr>
              <w:t>1,253.04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F18D04">
            <w:pPr>
              <w:jc w:val="center"/>
            </w:pPr>
            <w:r>
              <w:rPr>
                <w:rFonts w:ascii="宋体" w:hAnsi="宋体" w:eastAsia="宋体"/>
                <w:sz w:val="16"/>
              </w:rPr>
              <w:t>1,091.99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ACC8B7A">
            <w:pPr>
              <w:jc w:val="center"/>
            </w:pPr>
            <w:r>
              <w:rPr>
                <w:rFonts w:ascii="宋体" w:hAnsi="宋体" w:eastAsia="宋体"/>
                <w:sz w:val="16"/>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706537F">
            <w:pPr>
              <w:jc w:val="center"/>
            </w:pPr>
            <w:r>
              <w:rPr>
                <w:rFonts w:ascii="宋体" w:hAnsi="宋体" w:eastAsia="宋体"/>
                <w:sz w:val="16"/>
              </w:rPr>
              <w:t>87.15%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74E1388">
            <w:pPr>
              <w:jc w:val="center"/>
            </w:pPr>
            <w:r>
              <w:rPr>
                <w:rFonts w:ascii="宋体" w:hAnsi="宋体" w:eastAsia="宋体"/>
                <w:sz w:val="16"/>
              </w:rPr>
              <w:t>8.71</w:t>
            </w:r>
          </w:p>
        </w:tc>
      </w:tr>
      <w:tr w14:paraId="3464567B">
        <w:tblPrEx>
          <w:tblCellMar>
            <w:top w:w="0" w:type="dxa"/>
            <w:left w:w="108" w:type="dxa"/>
            <w:bottom w:w="0" w:type="dxa"/>
            <w:right w:w="108" w:type="dxa"/>
          </w:tblCellMar>
        </w:tblPrEx>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01CE00">
            <w:pPr>
              <w:jc w:val="center"/>
            </w:pPr>
            <w:r>
              <w:rPr>
                <w:rFonts w:ascii="宋体" w:hAnsi="宋体" w:eastAsia="宋体"/>
                <w:sz w:val="16"/>
              </w:rPr>
              <w:t>年度总体目标</w:t>
            </w:r>
          </w:p>
        </w:tc>
        <w:tc>
          <w:tcPr>
            <w:tcW w:w="2949"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1759E4C7">
            <w:pPr>
              <w:jc w:val="center"/>
            </w:pPr>
            <w:r>
              <w:rPr>
                <w:rFonts w:ascii="宋体" w:hAnsi="宋体" w:eastAsia="宋体"/>
                <w:sz w:val="16"/>
              </w:rPr>
              <w:t>预期目标</w:t>
            </w:r>
          </w:p>
        </w:tc>
        <w:tc>
          <w:tcPr>
            <w:tcW w:w="4915"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B5D59A7">
            <w:pPr>
              <w:jc w:val="center"/>
            </w:pPr>
            <w:r>
              <w:rPr>
                <w:rFonts w:ascii="宋体" w:hAnsi="宋体" w:eastAsia="宋体"/>
                <w:sz w:val="16"/>
              </w:rPr>
              <w:t>实际完成情况</w:t>
            </w:r>
          </w:p>
        </w:tc>
      </w:tr>
      <w:tr w14:paraId="33F38B70">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9A8A97D"/>
        </w:tc>
        <w:tc>
          <w:tcPr>
            <w:tcW w:w="2949"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591A9CA8">
            <w:pPr>
              <w:jc w:val="both"/>
            </w:pPr>
            <w:r>
              <w:rPr>
                <w:rFonts w:ascii="宋体" w:hAnsi="宋体" w:eastAsia="宋体"/>
                <w:sz w:val="16"/>
              </w:rPr>
              <w:t>2024年检察工作要坚持以习近平新时代中国特色社会主义思想为指导，全面学习贯彻党的二十大精神，深入贯彻落实全面贯彻习近平法治思想，</w:t>
            </w:r>
            <w:r>
              <w:rPr>
                <w:rFonts w:hint="eastAsia" w:ascii="宋体" w:hAnsi="宋体"/>
                <w:sz w:val="16"/>
                <w:lang w:eastAsia="zh-CN"/>
              </w:rPr>
              <w:t>完整准确全面贯彻新时代党的治疆方略</w:t>
            </w:r>
            <w:r>
              <w:rPr>
                <w:rFonts w:ascii="宋体" w:hAnsi="宋体" w:eastAsia="宋体"/>
                <w:sz w:val="16"/>
              </w:rPr>
              <w:t>，牢牢扭住社会稳定和长治久安总目标，全面落实《中共中央关于加强新时代检察机关法律监督工作的意见》及区州党委《实施意见》，加强法律监督工作，推动检察工作高质量发展精神，优化“四大检察”“十大业务”法律监督格局，以高质量发展为主题，以完善检察机关法律监督体系、提升法律监督能力为主线，加强基层组织、基础工作、基本能力建设，深化司法体制改革，</w:t>
            </w:r>
            <w:r>
              <w:rPr>
                <w:rFonts w:hint="eastAsia" w:ascii="宋体" w:hAnsi="宋体"/>
                <w:sz w:val="16"/>
                <w:lang w:eastAsia="zh-CN"/>
              </w:rPr>
              <w:t>更好地服务</w:t>
            </w:r>
            <w:r>
              <w:rPr>
                <w:rFonts w:ascii="宋体" w:hAnsi="宋体" w:eastAsia="宋体"/>
                <w:sz w:val="16"/>
              </w:rPr>
              <w:t>经济社会高质量发展、推动检察工作自身高质量发展，为全面建设社会主义现代化国家提供有力司法保障。</w:t>
            </w:r>
          </w:p>
        </w:tc>
        <w:tc>
          <w:tcPr>
            <w:tcW w:w="4915"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61922FC">
            <w:pPr>
              <w:jc w:val="both"/>
            </w:pPr>
            <w:r>
              <w:rPr>
                <w:rFonts w:ascii="宋体" w:hAnsi="宋体" w:eastAsia="宋体"/>
                <w:sz w:val="16"/>
              </w:rPr>
              <w:t>2024年</w:t>
            </w:r>
            <w:r>
              <w:rPr>
                <w:rFonts w:hint="eastAsia" w:ascii="宋体" w:hAnsi="宋体"/>
                <w:sz w:val="16"/>
                <w:lang w:eastAsia="zh-CN"/>
              </w:rPr>
              <w:t>本单位</w:t>
            </w:r>
            <w:r>
              <w:rPr>
                <w:rFonts w:ascii="宋体" w:hAnsi="宋体" w:eastAsia="宋体"/>
                <w:sz w:val="16"/>
              </w:rPr>
              <w:t>全年预算数为1253.04万元，全年执行数为1091.99万元，总预算执行率为87.15%。2024年</w:t>
            </w:r>
            <w:r>
              <w:rPr>
                <w:rFonts w:hint="eastAsia" w:ascii="宋体" w:hAnsi="宋体"/>
                <w:sz w:val="16"/>
                <w:lang w:eastAsia="zh-CN"/>
              </w:rPr>
              <w:t>本单位</w:t>
            </w:r>
            <w:r>
              <w:rPr>
                <w:rFonts w:ascii="宋体" w:hAnsi="宋体" w:eastAsia="宋体"/>
                <w:sz w:val="16"/>
              </w:rPr>
              <w:t>完成以下工作内容：1.司法救助案件数指标年初设定目标是大于等于4件；年中绩效运行监控时完成值2件；年终实际完成值是6件，指标完成率是150%;2.检察机关办案数量指标年初设定目标是大于等于450件；年中绩效运行监控时完成值214件；年终实际完成值是549件，指标完成率是122%；3、司法救助案件办结率指标年初设定目标是等于100.00%；年中绩效运行监控时完成值50.00%；年终实际完成值是150.00%，指标完成率是100.00%；4、认罪认罚使用率指标年初设定目标是大于等于85.00%；年中绩效运行监控时完成值80%；年终实际完成值是87.2%，指标完成率是102.59%。通过以上工作的实施，加强了法律监督工作，推动了检察工作高质量发展精神，优化了“四大检察”“十大业务”法律监督格局，以高质量发展为主题，以完善检察机关法律监督体系、提升法律监督能力为主线，加强了基层组织、基础工作、基本能力建设，深化了司法体制改革，更好地服务了经济社会高质量发展、推动了检察工作自身高质量发展，为全面建设社会主义现代化国家提供有力司法保障。</w:t>
            </w:r>
          </w:p>
        </w:tc>
      </w:tr>
      <w:tr w14:paraId="076FDFDC">
        <w:tblPrEx>
          <w:tblCellMar>
            <w:top w:w="0" w:type="dxa"/>
            <w:left w:w="108" w:type="dxa"/>
            <w:bottom w:w="0" w:type="dxa"/>
            <w:right w:w="108" w:type="dxa"/>
          </w:tblCellMar>
        </w:tblPrEx>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81CE82">
            <w:pPr>
              <w:jc w:val="center"/>
            </w:pPr>
            <w:r>
              <w:rPr>
                <w:rFonts w:ascii="宋体" w:hAnsi="宋体" w:eastAsia="宋体"/>
                <w:sz w:val="16"/>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5306D06">
            <w:pPr>
              <w:jc w:val="center"/>
            </w:pPr>
            <w:r>
              <w:rPr>
                <w:rFonts w:ascii="宋体" w:hAnsi="宋体" w:eastAsia="宋体"/>
                <w:sz w:val="16"/>
              </w:rPr>
              <w:t>二级指标</w:t>
            </w:r>
          </w:p>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7F6319">
            <w:pPr>
              <w:jc w:val="center"/>
            </w:pPr>
            <w:r>
              <w:rPr>
                <w:rFonts w:ascii="宋体" w:hAnsi="宋体" w:eastAsia="宋体"/>
                <w:sz w:val="16"/>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9EDB2CB">
            <w:pPr>
              <w:jc w:val="center"/>
            </w:pPr>
            <w:r>
              <w:rPr>
                <w:rFonts w:ascii="宋体" w:hAnsi="宋体" w:eastAsia="宋体"/>
                <w:sz w:val="16"/>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46620C">
            <w:pPr>
              <w:jc w:val="center"/>
            </w:pPr>
            <w:r>
              <w:rPr>
                <w:rFonts w:ascii="宋体" w:hAnsi="宋体" w:eastAsia="宋体"/>
                <w:sz w:val="16"/>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E1A4201">
            <w:pPr>
              <w:jc w:val="center"/>
            </w:pPr>
            <w:r>
              <w:rPr>
                <w:rFonts w:ascii="宋体" w:hAnsi="宋体" w:eastAsia="宋体"/>
                <w:sz w:val="16"/>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B6883C9">
            <w:pPr>
              <w:jc w:val="center"/>
            </w:pPr>
            <w:r>
              <w:rPr>
                <w:rFonts w:ascii="宋体" w:hAnsi="宋体" w:eastAsia="宋体"/>
                <w:sz w:val="16"/>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3A7EE89">
            <w:pPr>
              <w:jc w:val="center"/>
            </w:pPr>
            <w:r>
              <w:rPr>
                <w:rFonts w:ascii="宋体" w:hAnsi="宋体" w:eastAsia="宋体"/>
                <w:sz w:val="16"/>
              </w:rPr>
              <w:t>得分</w:t>
            </w:r>
          </w:p>
        </w:tc>
      </w:tr>
      <w:tr w14:paraId="61F72BC0">
        <w:tblPrEx>
          <w:tblCellMar>
            <w:top w:w="0" w:type="dxa"/>
            <w:left w:w="108" w:type="dxa"/>
            <w:bottom w:w="0" w:type="dxa"/>
            <w:right w:w="108" w:type="dxa"/>
          </w:tblCellMar>
        </w:tblPrEx>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72E84D">
            <w:pPr>
              <w:jc w:val="center"/>
            </w:pPr>
            <w:r>
              <w:rPr>
                <w:rFonts w:ascii="宋体" w:hAnsi="宋体" w:eastAsia="宋体"/>
                <w:sz w:val="16"/>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282EB0">
            <w:pPr>
              <w:jc w:val="center"/>
            </w:pPr>
            <w:r>
              <w:rPr>
                <w:rFonts w:ascii="宋体" w:hAnsi="宋体" w:eastAsia="宋体"/>
                <w:sz w:val="16"/>
              </w:rPr>
              <w:t>数量指标</w:t>
            </w:r>
          </w:p>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887C26">
            <w:pPr>
              <w:jc w:val="center"/>
            </w:pPr>
            <w:r>
              <w:rPr>
                <w:rFonts w:ascii="宋体" w:hAnsi="宋体" w:eastAsia="宋体"/>
                <w:sz w:val="16"/>
              </w:rPr>
              <w:t>司法救助案件数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FB6252">
            <w:pPr>
              <w:jc w:val="center"/>
            </w:pPr>
            <w:r>
              <w:rPr>
                <w:rFonts w:ascii="宋体" w:hAnsi="宋体" w:eastAsia="宋体"/>
                <w:sz w:val="16"/>
              </w:rPr>
              <w:t>&gt;=4件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8643704">
            <w:pPr>
              <w:jc w:val="center"/>
            </w:pPr>
            <w:r>
              <w:rPr>
                <w:rFonts w:ascii="宋体" w:hAnsi="宋体" w:eastAsia="宋体"/>
                <w:sz w:val="16"/>
              </w:rPr>
              <w:t>2023年县市院控告申诉检察工作考核指标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95C9D42">
            <w:pPr>
              <w:jc w:val="center"/>
            </w:pPr>
            <w:r>
              <w:rPr>
                <w:rFonts w:ascii="宋体" w:hAnsi="宋体" w:eastAsia="宋体"/>
                <w:sz w:val="16"/>
              </w:rPr>
              <w:t>25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7170E28">
            <w:pPr>
              <w:jc w:val="center"/>
            </w:pPr>
            <w:r>
              <w:rPr>
                <w:rFonts w:ascii="宋体" w:hAnsi="宋体" w:eastAsia="宋体"/>
                <w:sz w:val="16"/>
              </w:rPr>
              <w:t>=6件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168AE7">
            <w:pPr>
              <w:jc w:val="center"/>
            </w:pPr>
            <w:r>
              <w:rPr>
                <w:rFonts w:ascii="宋体" w:hAnsi="宋体" w:eastAsia="宋体"/>
                <w:sz w:val="16"/>
              </w:rPr>
              <w:t>25</w:t>
            </w:r>
          </w:p>
        </w:tc>
      </w:tr>
      <w:tr w14:paraId="3A787125">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24505A6"/>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52B38DA"/>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45E2AB">
            <w:pPr>
              <w:jc w:val="center"/>
            </w:pPr>
            <w:r>
              <w:rPr>
                <w:rFonts w:ascii="宋体" w:hAnsi="宋体" w:eastAsia="宋体"/>
                <w:sz w:val="16"/>
              </w:rPr>
              <w:t>支持检察机关办案数量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CED0ECD">
            <w:pPr>
              <w:jc w:val="center"/>
            </w:pPr>
            <w:r>
              <w:rPr>
                <w:rFonts w:ascii="宋体" w:hAnsi="宋体" w:eastAsia="宋体"/>
                <w:sz w:val="16"/>
              </w:rPr>
              <w:t>&gt;=450件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476525">
            <w:pPr>
              <w:jc w:val="center"/>
            </w:pPr>
            <w:r>
              <w:rPr>
                <w:rFonts w:ascii="宋体" w:hAnsi="宋体" w:eastAsia="宋体"/>
                <w:sz w:val="16"/>
              </w:rPr>
              <w:t>呼图壁县人民检察院2023年全年工作报告</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535A4D2">
            <w:pPr>
              <w:jc w:val="center"/>
            </w:pPr>
            <w:r>
              <w:rPr>
                <w:rFonts w:ascii="宋体" w:hAnsi="宋体" w:eastAsia="宋体"/>
                <w:sz w:val="16"/>
              </w:rPr>
              <w:t>25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CD43520">
            <w:pPr>
              <w:jc w:val="center"/>
            </w:pPr>
            <w:r>
              <w:rPr>
                <w:rFonts w:ascii="宋体" w:hAnsi="宋体" w:eastAsia="宋体"/>
                <w:sz w:val="16"/>
              </w:rPr>
              <w:t>=549件</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5B451B4">
            <w:pPr>
              <w:jc w:val="center"/>
            </w:pPr>
            <w:r>
              <w:rPr>
                <w:rFonts w:ascii="宋体" w:hAnsi="宋体" w:eastAsia="宋体"/>
                <w:sz w:val="16"/>
              </w:rPr>
              <w:t>25</w:t>
            </w:r>
          </w:p>
        </w:tc>
      </w:tr>
      <w:tr w14:paraId="1A547F56">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F545724"/>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FD5EBF">
            <w:pPr>
              <w:jc w:val="center"/>
            </w:pPr>
            <w:r>
              <w:rPr>
                <w:rFonts w:ascii="宋体" w:hAnsi="宋体" w:eastAsia="宋体"/>
                <w:sz w:val="16"/>
              </w:rPr>
              <w:t>质量指标</w:t>
            </w:r>
          </w:p>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CF23D1">
            <w:pPr>
              <w:jc w:val="center"/>
            </w:pPr>
            <w:r>
              <w:rPr>
                <w:rFonts w:ascii="宋体" w:hAnsi="宋体" w:eastAsia="宋体"/>
                <w:sz w:val="16"/>
              </w:rPr>
              <w:t>司法</w:t>
            </w:r>
            <w:r>
              <w:rPr>
                <w:rFonts w:hint="eastAsia" w:ascii="宋体" w:hAnsi="宋体"/>
                <w:sz w:val="16"/>
                <w:lang w:eastAsia="zh-CN"/>
              </w:rPr>
              <w:t>救助</w:t>
            </w:r>
            <w:r>
              <w:rPr>
                <w:rFonts w:ascii="宋体" w:hAnsi="宋体" w:eastAsia="宋体"/>
                <w:sz w:val="16"/>
              </w:rPr>
              <w:t>案件办结率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3A6121">
            <w:pPr>
              <w:jc w:val="center"/>
            </w:pPr>
            <w:r>
              <w:rPr>
                <w:rFonts w:ascii="宋体" w:hAnsi="宋体" w:eastAsia="宋体"/>
                <w:sz w:val="16"/>
              </w:rPr>
              <w:t>&gt;=100%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1D07D47">
            <w:pPr>
              <w:jc w:val="center"/>
            </w:pPr>
            <w:r>
              <w:rPr>
                <w:rFonts w:ascii="宋体" w:hAnsi="宋体" w:eastAsia="宋体"/>
                <w:sz w:val="16"/>
              </w:rPr>
              <w:t>呼图壁县人民检察院2023年全年工作报告</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98B6B5">
            <w:pPr>
              <w:jc w:val="center"/>
            </w:pPr>
            <w:r>
              <w:rPr>
                <w:rFonts w:ascii="宋体" w:hAnsi="宋体" w:eastAsia="宋体"/>
                <w:sz w:val="16"/>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94A9A16">
            <w:pPr>
              <w:jc w:val="center"/>
            </w:pPr>
            <w:r>
              <w:rPr>
                <w:rFonts w:ascii="宋体" w:hAnsi="宋体" w:eastAsia="宋体"/>
                <w:sz w:val="16"/>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9CCE5BF">
            <w:pPr>
              <w:jc w:val="center"/>
            </w:pPr>
            <w:r>
              <w:rPr>
                <w:rFonts w:ascii="宋体" w:hAnsi="宋体" w:eastAsia="宋体"/>
                <w:sz w:val="16"/>
              </w:rPr>
              <w:t>20</w:t>
            </w:r>
          </w:p>
        </w:tc>
      </w:tr>
      <w:tr w14:paraId="6937A265">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F813D5B"/>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D6FE356"/>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8C78A8">
            <w:pPr>
              <w:jc w:val="center"/>
            </w:pPr>
            <w:r>
              <w:rPr>
                <w:rFonts w:ascii="宋体" w:hAnsi="宋体" w:eastAsia="宋体"/>
                <w:sz w:val="16"/>
              </w:rPr>
              <w:t>认罪认罚适用率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0D4A87">
            <w:pPr>
              <w:jc w:val="center"/>
            </w:pPr>
            <w:r>
              <w:rPr>
                <w:rFonts w:ascii="宋体" w:hAnsi="宋体" w:eastAsia="宋体"/>
                <w:sz w:val="16"/>
              </w:rPr>
              <w:t>&gt;=85%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A8F98F">
            <w:pPr>
              <w:jc w:val="center"/>
            </w:pPr>
            <w:r>
              <w:rPr>
                <w:rFonts w:ascii="宋体" w:hAnsi="宋体" w:eastAsia="宋体"/>
                <w:sz w:val="16"/>
              </w:rPr>
              <w:t>呼图壁县人民检察院2023年全年工作报告</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BAC925C">
            <w:pPr>
              <w:jc w:val="center"/>
            </w:pPr>
            <w:r>
              <w:rPr>
                <w:rFonts w:ascii="宋体" w:hAnsi="宋体" w:eastAsia="宋体"/>
                <w:sz w:val="16"/>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967FB1B">
            <w:pPr>
              <w:jc w:val="center"/>
            </w:pPr>
            <w:r>
              <w:rPr>
                <w:rFonts w:ascii="宋体" w:hAnsi="宋体" w:eastAsia="宋体"/>
                <w:sz w:val="16"/>
              </w:rPr>
              <w:t>=87.2%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59624B6">
            <w:pPr>
              <w:jc w:val="center"/>
            </w:pPr>
            <w:r>
              <w:rPr>
                <w:rFonts w:ascii="宋体" w:hAnsi="宋体" w:eastAsia="宋体"/>
                <w:sz w:val="16"/>
              </w:rPr>
              <w:t>20</w:t>
            </w:r>
          </w:p>
        </w:tc>
      </w:tr>
    </w:tbl>
    <w:p w14:paraId="2A0A43E3">
      <w:r>
        <w:br w:type="page"/>
      </w:r>
    </w:p>
    <w:tbl>
      <w:tblPr>
        <w:tblStyle w:val="9"/>
        <w:tblW w:w="0" w:type="auto"/>
        <w:tblInd w:w="0" w:type="dxa"/>
        <w:tblLayout w:type="autofit"/>
        <w:tblCellMar>
          <w:top w:w="0" w:type="dxa"/>
          <w:left w:w="108" w:type="dxa"/>
          <w:bottom w:w="0" w:type="dxa"/>
          <w:right w:w="108" w:type="dxa"/>
        </w:tblCellMar>
      </w:tblPr>
      <w:tblGrid>
        <w:gridCol w:w="617"/>
        <w:gridCol w:w="592"/>
        <w:gridCol w:w="592"/>
        <w:gridCol w:w="696"/>
        <w:gridCol w:w="605"/>
        <w:gridCol w:w="856"/>
        <w:gridCol w:w="696"/>
        <w:gridCol w:w="776"/>
        <w:gridCol w:w="630"/>
        <w:gridCol w:w="592"/>
        <w:gridCol w:w="592"/>
        <w:gridCol w:w="592"/>
        <w:gridCol w:w="606"/>
        <w:gridCol w:w="618"/>
      </w:tblGrid>
      <w:tr w14:paraId="37924743">
        <w:tblPrEx>
          <w:tblCellMar>
            <w:top w:w="0" w:type="dxa"/>
            <w:left w:w="108" w:type="dxa"/>
            <w:bottom w:w="0" w:type="dxa"/>
            <w:right w:w="108" w:type="dxa"/>
          </w:tblCellMar>
        </w:tblPrEx>
        <w:tc>
          <w:tcPr>
            <w:tcW w:w="9060" w:type="dxa"/>
            <w:gridSpan w:val="14"/>
            <w:vAlign w:val="center"/>
          </w:tcPr>
          <w:p w14:paraId="04EFFC69">
            <w:pPr>
              <w:jc w:val="center"/>
            </w:pPr>
            <w:r>
              <w:rPr>
                <w:rFonts w:ascii="宋体" w:hAnsi="宋体" w:eastAsia="宋体"/>
                <w:sz w:val="24"/>
              </w:rPr>
              <w:t>项目支出绩效自评表</w:t>
            </w:r>
          </w:p>
        </w:tc>
      </w:tr>
      <w:tr w14:paraId="22740822">
        <w:tblPrEx>
          <w:tblCellMar>
            <w:top w:w="0" w:type="dxa"/>
            <w:left w:w="108" w:type="dxa"/>
            <w:bottom w:w="0" w:type="dxa"/>
            <w:right w:w="108" w:type="dxa"/>
          </w:tblCellMar>
        </w:tblPrEx>
        <w:tc>
          <w:tcPr>
            <w:tcW w:w="9060"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06F53BC">
            <w:pPr>
              <w:jc w:val="center"/>
            </w:pPr>
            <w:r>
              <w:rPr>
                <w:rFonts w:ascii="宋体" w:hAnsi="宋体" w:eastAsia="宋体"/>
                <w:sz w:val="24"/>
              </w:rPr>
              <w:t>(2024年度)</w:t>
            </w:r>
          </w:p>
        </w:tc>
      </w:tr>
      <w:tr w14:paraId="2E653AFC">
        <w:tblPrEx>
          <w:tblCellMar>
            <w:top w:w="0" w:type="dxa"/>
            <w:left w:w="108" w:type="dxa"/>
            <w:bottom w:w="0" w:type="dxa"/>
            <w:right w:w="108" w:type="dxa"/>
          </w:tblCellMar>
        </w:tblPrEx>
        <w:tc>
          <w:tcPr>
            <w:tcW w:w="617" w:type="dxa"/>
            <w:tcBorders>
              <w:top w:val="single" w:color="auto" w:sz="10" w:space="0"/>
              <w:left w:val="single" w:color="auto" w:sz="10" w:space="0"/>
              <w:bottom w:val="single" w:color="auto" w:sz="10" w:space="0"/>
              <w:right w:val="single" w:color="auto" w:sz="10" w:space="0"/>
              <w:insideV w:val="single" w:sz="10" w:space="0"/>
            </w:tcBorders>
            <w:vAlign w:val="center"/>
          </w:tcPr>
          <w:p w14:paraId="179EF1D7">
            <w:pPr>
              <w:jc w:val="center"/>
            </w:pPr>
            <w:r>
              <w:rPr>
                <w:rFonts w:ascii="宋体" w:hAnsi="宋体" w:eastAsia="宋体"/>
                <w:sz w:val="16"/>
              </w:rPr>
              <w:t>项目名称</w:t>
            </w:r>
          </w:p>
        </w:tc>
        <w:tc>
          <w:tcPr>
            <w:tcW w:w="8443"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78D76F7C">
            <w:pPr>
              <w:jc w:val="center"/>
            </w:pPr>
            <w:r>
              <w:rPr>
                <w:rFonts w:ascii="宋体" w:hAnsi="宋体" w:eastAsia="宋体"/>
                <w:sz w:val="16"/>
              </w:rPr>
              <w:t>机关运行补助（单位资金）</w:t>
            </w:r>
          </w:p>
        </w:tc>
      </w:tr>
      <w:tr w14:paraId="27B1C493">
        <w:tblPrEx>
          <w:tblCellMar>
            <w:top w:w="0" w:type="dxa"/>
            <w:left w:w="108" w:type="dxa"/>
            <w:bottom w:w="0" w:type="dxa"/>
            <w:right w:w="108" w:type="dxa"/>
          </w:tblCellMar>
        </w:tblPrEx>
        <w:tc>
          <w:tcPr>
            <w:tcW w:w="617" w:type="dxa"/>
            <w:tcBorders>
              <w:top w:val="single" w:color="auto" w:sz="10" w:space="0"/>
              <w:left w:val="single" w:color="auto" w:sz="10" w:space="0"/>
              <w:bottom w:val="single" w:color="auto" w:sz="10" w:space="0"/>
              <w:right w:val="single" w:color="auto" w:sz="10" w:space="0"/>
              <w:insideV w:val="single" w:sz="10" w:space="0"/>
            </w:tcBorders>
            <w:vAlign w:val="center"/>
          </w:tcPr>
          <w:p w14:paraId="507208A0">
            <w:pPr>
              <w:jc w:val="center"/>
            </w:pPr>
            <w:r>
              <w:rPr>
                <w:rFonts w:ascii="宋体" w:hAnsi="宋体" w:eastAsia="宋体"/>
                <w:sz w:val="16"/>
              </w:rPr>
              <w:t>主管部门</w:t>
            </w:r>
          </w:p>
        </w:tc>
        <w:tc>
          <w:tcPr>
            <w:tcW w:w="481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74EA66D">
            <w:pPr>
              <w:jc w:val="center"/>
            </w:pPr>
            <w:r>
              <w:rPr>
                <w:rFonts w:ascii="宋体" w:hAnsi="宋体" w:eastAsia="宋体"/>
                <w:sz w:val="16"/>
              </w:rPr>
              <w:t>呼图壁县人民检察院</w:t>
            </w:r>
          </w:p>
        </w:tc>
        <w:tc>
          <w:tcPr>
            <w:tcW w:w="630" w:type="dxa"/>
            <w:tcBorders>
              <w:top w:val="single" w:color="auto" w:sz="10" w:space="0"/>
              <w:left w:val="single" w:color="auto" w:sz="10" w:space="0"/>
              <w:bottom w:val="single" w:color="auto" w:sz="10" w:space="0"/>
              <w:right w:val="single" w:color="auto" w:sz="10" w:space="0"/>
              <w:insideV w:val="single" w:sz="10" w:space="0"/>
            </w:tcBorders>
            <w:vAlign w:val="center"/>
          </w:tcPr>
          <w:p w14:paraId="6FAE7276">
            <w:pPr>
              <w:jc w:val="center"/>
            </w:pPr>
            <w:r>
              <w:rPr>
                <w:rFonts w:ascii="宋体" w:hAnsi="宋体" w:eastAsia="宋体"/>
                <w:sz w:val="16"/>
              </w:rPr>
              <w:t>实施单位</w:t>
            </w:r>
          </w:p>
        </w:tc>
        <w:tc>
          <w:tcPr>
            <w:tcW w:w="3000"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9EB64F6">
            <w:pPr>
              <w:jc w:val="center"/>
            </w:pPr>
            <w:r>
              <w:rPr>
                <w:rFonts w:ascii="宋体" w:hAnsi="宋体" w:eastAsia="宋体"/>
                <w:sz w:val="16"/>
              </w:rPr>
              <w:t>呼图壁县人民检察院</w:t>
            </w:r>
          </w:p>
        </w:tc>
      </w:tr>
      <w:tr w14:paraId="50DF6CF7">
        <w:tblPrEx>
          <w:tblCellMar>
            <w:top w:w="0" w:type="dxa"/>
            <w:left w:w="108" w:type="dxa"/>
            <w:bottom w:w="0" w:type="dxa"/>
            <w:right w:w="108" w:type="dxa"/>
          </w:tblCellMar>
        </w:tblPrEx>
        <w:tc>
          <w:tcPr>
            <w:tcW w:w="61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ACF416">
            <w:pPr>
              <w:jc w:val="center"/>
            </w:pPr>
            <w:r>
              <w:rPr>
                <w:rFonts w:ascii="宋体" w:hAnsi="宋体" w:eastAsia="宋体"/>
                <w:sz w:val="16"/>
              </w:rPr>
              <w:t>项目资金（万元）</w:t>
            </w:r>
          </w:p>
        </w:tc>
        <w:tc>
          <w:tcPr>
            <w:tcW w:w="118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802F0E">
            <w:pPr>
              <w:jc w:val="center"/>
            </w:pPr>
          </w:p>
        </w:tc>
        <w:tc>
          <w:tcPr>
            <w:tcW w:w="130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E8E0D4">
            <w:pPr>
              <w:jc w:val="center"/>
            </w:pPr>
            <w:r>
              <w:rPr>
                <w:rFonts w:ascii="宋体" w:hAnsi="宋体" w:eastAsia="宋体"/>
                <w:sz w:val="16"/>
              </w:rPr>
              <w:t>年初预算数</w:t>
            </w:r>
          </w:p>
        </w:tc>
        <w:tc>
          <w:tcPr>
            <w:tcW w:w="1552"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0FB4F4">
            <w:pPr>
              <w:jc w:val="center"/>
            </w:pPr>
            <w:r>
              <w:rPr>
                <w:rFonts w:ascii="宋体" w:hAnsi="宋体" w:eastAsia="宋体"/>
                <w:sz w:val="16"/>
              </w:rPr>
              <w:t>全年预算数</w:t>
            </w:r>
          </w:p>
        </w:tc>
        <w:tc>
          <w:tcPr>
            <w:tcW w:w="140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72E288">
            <w:pPr>
              <w:jc w:val="center"/>
            </w:pPr>
            <w:r>
              <w:rPr>
                <w:rFonts w:ascii="宋体" w:hAnsi="宋体" w:eastAsia="宋体"/>
                <w:sz w:val="16"/>
              </w:rPr>
              <w:t>全年执行数</w:t>
            </w:r>
          </w:p>
        </w:tc>
        <w:tc>
          <w:tcPr>
            <w:tcW w:w="118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427A89">
            <w:pPr>
              <w:jc w:val="center"/>
            </w:pPr>
            <w:r>
              <w:rPr>
                <w:rFonts w:ascii="宋体" w:hAnsi="宋体" w:eastAsia="宋体"/>
                <w:sz w:val="16"/>
              </w:rPr>
              <w:t>分值</w:t>
            </w:r>
          </w:p>
        </w:tc>
        <w:tc>
          <w:tcPr>
            <w:tcW w:w="119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B8BFE1">
            <w:pPr>
              <w:jc w:val="center"/>
            </w:pPr>
            <w:r>
              <w:rPr>
                <w:rFonts w:ascii="宋体" w:hAnsi="宋体" w:eastAsia="宋体"/>
                <w:sz w:val="16"/>
              </w:rPr>
              <w:t>执行率</w:t>
            </w:r>
          </w:p>
        </w:tc>
        <w:tc>
          <w:tcPr>
            <w:tcW w:w="618" w:type="dxa"/>
            <w:tcBorders>
              <w:top w:val="single" w:color="auto" w:sz="10" w:space="0"/>
              <w:left w:val="single" w:color="auto" w:sz="10" w:space="0"/>
              <w:bottom w:val="single" w:color="auto" w:sz="10" w:space="0"/>
              <w:right w:val="single" w:color="auto" w:sz="10" w:space="0"/>
              <w:insideV w:val="single" w:sz="10" w:space="0"/>
            </w:tcBorders>
            <w:vAlign w:val="center"/>
          </w:tcPr>
          <w:p w14:paraId="5947CB42">
            <w:pPr>
              <w:jc w:val="center"/>
            </w:pPr>
            <w:r>
              <w:rPr>
                <w:rFonts w:ascii="宋体" w:hAnsi="宋体" w:eastAsia="宋体"/>
                <w:sz w:val="16"/>
              </w:rPr>
              <w:t>得分</w:t>
            </w:r>
          </w:p>
        </w:tc>
      </w:tr>
      <w:tr w14:paraId="4CC36F99">
        <w:tblPrEx>
          <w:tblCellMar>
            <w:top w:w="0" w:type="dxa"/>
            <w:left w:w="108" w:type="dxa"/>
            <w:bottom w:w="0" w:type="dxa"/>
            <w:right w:w="108" w:type="dxa"/>
          </w:tblCellMar>
        </w:tblPrEx>
        <w:tc>
          <w:tcPr>
            <w:tcW w:w="617" w:type="dxa"/>
            <w:vMerge w:val="continue"/>
            <w:tcBorders>
              <w:top w:val="single" w:color="auto" w:sz="10" w:space="0"/>
              <w:left w:val="single" w:color="auto" w:sz="10" w:space="0"/>
              <w:bottom w:val="single" w:color="auto" w:sz="10" w:space="0"/>
              <w:right w:val="single" w:color="auto" w:sz="10" w:space="0"/>
              <w:insideV w:val="single" w:sz="10" w:space="0"/>
            </w:tcBorders>
          </w:tcPr>
          <w:p w14:paraId="5A7D9B40"/>
        </w:tc>
        <w:tc>
          <w:tcPr>
            <w:tcW w:w="118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129CCA">
            <w:pPr>
              <w:jc w:val="center"/>
            </w:pPr>
            <w:r>
              <w:rPr>
                <w:rFonts w:ascii="宋体" w:hAnsi="宋体" w:eastAsia="宋体"/>
                <w:sz w:val="16"/>
              </w:rPr>
              <w:t>年度资金总额</w:t>
            </w:r>
          </w:p>
        </w:tc>
        <w:tc>
          <w:tcPr>
            <w:tcW w:w="130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9E68CD">
            <w:pPr>
              <w:jc w:val="center"/>
            </w:pPr>
            <w:r>
              <w:rPr>
                <w:rFonts w:ascii="宋体" w:hAnsi="宋体" w:eastAsia="宋体"/>
                <w:sz w:val="16"/>
              </w:rPr>
              <w:t>229.84</w:t>
            </w:r>
          </w:p>
        </w:tc>
        <w:tc>
          <w:tcPr>
            <w:tcW w:w="1552"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4759B3">
            <w:pPr>
              <w:jc w:val="center"/>
            </w:pPr>
            <w:r>
              <w:rPr>
                <w:rFonts w:ascii="宋体" w:hAnsi="宋体" w:eastAsia="宋体"/>
                <w:sz w:val="16"/>
              </w:rPr>
              <w:t>201.66</w:t>
            </w:r>
          </w:p>
        </w:tc>
        <w:tc>
          <w:tcPr>
            <w:tcW w:w="140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484B0A">
            <w:pPr>
              <w:jc w:val="center"/>
            </w:pPr>
            <w:r>
              <w:rPr>
                <w:rFonts w:ascii="宋体" w:hAnsi="宋体" w:eastAsia="宋体"/>
                <w:sz w:val="16"/>
              </w:rPr>
              <w:t>144.67</w:t>
            </w:r>
          </w:p>
        </w:tc>
        <w:tc>
          <w:tcPr>
            <w:tcW w:w="118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138692">
            <w:pPr>
              <w:jc w:val="center"/>
            </w:pPr>
            <w:r>
              <w:rPr>
                <w:rFonts w:ascii="宋体" w:hAnsi="宋体" w:eastAsia="宋体"/>
                <w:sz w:val="16"/>
              </w:rPr>
              <w:t>10</w:t>
            </w:r>
          </w:p>
        </w:tc>
        <w:tc>
          <w:tcPr>
            <w:tcW w:w="119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54FC11">
            <w:pPr>
              <w:jc w:val="center"/>
            </w:pPr>
            <w:r>
              <w:rPr>
                <w:rFonts w:ascii="宋体" w:hAnsi="宋体" w:eastAsia="宋体"/>
                <w:sz w:val="16"/>
              </w:rPr>
              <w:t>71.74%</w:t>
            </w:r>
          </w:p>
        </w:tc>
        <w:tc>
          <w:tcPr>
            <w:tcW w:w="618" w:type="dxa"/>
            <w:tcBorders>
              <w:top w:val="single" w:color="auto" w:sz="10" w:space="0"/>
              <w:left w:val="single" w:color="auto" w:sz="10" w:space="0"/>
              <w:bottom w:val="single" w:color="auto" w:sz="10" w:space="0"/>
              <w:right w:val="single" w:color="auto" w:sz="10" w:space="0"/>
              <w:insideV w:val="single" w:sz="10" w:space="0"/>
            </w:tcBorders>
            <w:vAlign w:val="center"/>
          </w:tcPr>
          <w:p w14:paraId="794FE3FF">
            <w:pPr>
              <w:jc w:val="center"/>
            </w:pPr>
            <w:r>
              <w:rPr>
                <w:rFonts w:ascii="宋体" w:hAnsi="宋体" w:eastAsia="宋体"/>
                <w:sz w:val="16"/>
              </w:rPr>
              <w:t>2.93</w:t>
            </w:r>
          </w:p>
        </w:tc>
      </w:tr>
      <w:tr w14:paraId="5DB85E96">
        <w:tblPrEx>
          <w:tblCellMar>
            <w:top w:w="0" w:type="dxa"/>
            <w:left w:w="108" w:type="dxa"/>
            <w:bottom w:w="0" w:type="dxa"/>
            <w:right w:w="108" w:type="dxa"/>
          </w:tblCellMar>
        </w:tblPrEx>
        <w:tc>
          <w:tcPr>
            <w:tcW w:w="617" w:type="dxa"/>
            <w:vMerge w:val="continue"/>
            <w:tcBorders>
              <w:top w:val="single" w:color="auto" w:sz="10" w:space="0"/>
              <w:left w:val="single" w:color="auto" w:sz="10" w:space="0"/>
              <w:bottom w:val="single" w:color="auto" w:sz="10" w:space="0"/>
              <w:right w:val="single" w:color="auto" w:sz="10" w:space="0"/>
              <w:insideV w:val="single" w:sz="10" w:space="0"/>
            </w:tcBorders>
          </w:tcPr>
          <w:p w14:paraId="723E2F15"/>
        </w:tc>
        <w:tc>
          <w:tcPr>
            <w:tcW w:w="118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3A3F0E">
            <w:pPr>
              <w:jc w:val="center"/>
            </w:pPr>
            <w:r>
              <w:rPr>
                <w:rFonts w:ascii="宋体" w:hAnsi="宋体" w:eastAsia="宋体"/>
                <w:sz w:val="16"/>
              </w:rPr>
              <w:t>其中：当年财政拨款</w:t>
            </w:r>
          </w:p>
        </w:tc>
        <w:tc>
          <w:tcPr>
            <w:tcW w:w="130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BB498A">
            <w:pPr>
              <w:jc w:val="center"/>
            </w:pPr>
            <w:r>
              <w:rPr>
                <w:rFonts w:ascii="宋体" w:hAnsi="宋体" w:eastAsia="宋体"/>
                <w:sz w:val="16"/>
              </w:rPr>
              <w:t>0.00</w:t>
            </w:r>
          </w:p>
        </w:tc>
        <w:tc>
          <w:tcPr>
            <w:tcW w:w="1552"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DDAB81">
            <w:pPr>
              <w:jc w:val="center"/>
            </w:pPr>
            <w:r>
              <w:rPr>
                <w:rFonts w:ascii="宋体" w:hAnsi="宋体" w:eastAsia="宋体"/>
                <w:sz w:val="16"/>
              </w:rPr>
              <w:t>0.00</w:t>
            </w:r>
          </w:p>
        </w:tc>
        <w:tc>
          <w:tcPr>
            <w:tcW w:w="140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8583E0">
            <w:pPr>
              <w:jc w:val="center"/>
            </w:pPr>
            <w:r>
              <w:rPr>
                <w:rFonts w:ascii="宋体" w:hAnsi="宋体" w:eastAsia="宋体"/>
                <w:sz w:val="16"/>
              </w:rPr>
              <w:t>0.00</w:t>
            </w:r>
          </w:p>
        </w:tc>
        <w:tc>
          <w:tcPr>
            <w:tcW w:w="118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19F618">
            <w:pPr>
              <w:jc w:val="center"/>
            </w:pPr>
            <w:r>
              <w:rPr>
                <w:rFonts w:ascii="宋体" w:hAnsi="宋体" w:eastAsia="宋体"/>
                <w:sz w:val="16"/>
              </w:rPr>
              <w:t>—</w:t>
            </w:r>
          </w:p>
        </w:tc>
        <w:tc>
          <w:tcPr>
            <w:tcW w:w="119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C02E34">
            <w:pPr>
              <w:jc w:val="center"/>
            </w:pPr>
            <w:r>
              <w:rPr>
                <w:rFonts w:ascii="宋体" w:hAnsi="宋体" w:eastAsia="宋体"/>
                <w:sz w:val="16"/>
              </w:rPr>
              <w:t>—</w:t>
            </w:r>
          </w:p>
        </w:tc>
        <w:tc>
          <w:tcPr>
            <w:tcW w:w="618" w:type="dxa"/>
            <w:tcBorders>
              <w:top w:val="single" w:color="auto" w:sz="10" w:space="0"/>
              <w:left w:val="single" w:color="auto" w:sz="10" w:space="0"/>
              <w:bottom w:val="single" w:color="auto" w:sz="10" w:space="0"/>
              <w:right w:val="single" w:color="auto" w:sz="10" w:space="0"/>
              <w:insideV w:val="single" w:sz="10" w:space="0"/>
            </w:tcBorders>
            <w:vAlign w:val="center"/>
          </w:tcPr>
          <w:p w14:paraId="2C6A0EA5">
            <w:pPr>
              <w:jc w:val="center"/>
            </w:pPr>
            <w:r>
              <w:rPr>
                <w:rFonts w:ascii="宋体" w:hAnsi="宋体" w:eastAsia="宋体"/>
                <w:sz w:val="16"/>
              </w:rPr>
              <w:t>—</w:t>
            </w:r>
          </w:p>
        </w:tc>
      </w:tr>
      <w:tr w14:paraId="7393E0E1">
        <w:tblPrEx>
          <w:tblCellMar>
            <w:top w:w="0" w:type="dxa"/>
            <w:left w:w="108" w:type="dxa"/>
            <w:bottom w:w="0" w:type="dxa"/>
            <w:right w:w="108" w:type="dxa"/>
          </w:tblCellMar>
        </w:tblPrEx>
        <w:tc>
          <w:tcPr>
            <w:tcW w:w="617" w:type="dxa"/>
            <w:vMerge w:val="continue"/>
            <w:tcBorders>
              <w:top w:val="single" w:color="auto" w:sz="10" w:space="0"/>
              <w:left w:val="single" w:color="auto" w:sz="10" w:space="0"/>
              <w:bottom w:val="single" w:color="auto" w:sz="10" w:space="0"/>
              <w:right w:val="single" w:color="auto" w:sz="10" w:space="0"/>
              <w:insideV w:val="single" w:sz="10" w:space="0"/>
            </w:tcBorders>
          </w:tcPr>
          <w:p w14:paraId="46FF0F61"/>
        </w:tc>
        <w:tc>
          <w:tcPr>
            <w:tcW w:w="118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6A390C">
            <w:pPr>
              <w:jc w:val="center"/>
            </w:pPr>
            <w:r>
              <w:rPr>
                <w:rFonts w:ascii="宋体" w:hAnsi="宋体" w:eastAsia="宋体"/>
                <w:sz w:val="16"/>
              </w:rPr>
              <w:t xml:space="preserve">  其他资金</w:t>
            </w:r>
          </w:p>
        </w:tc>
        <w:tc>
          <w:tcPr>
            <w:tcW w:w="130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CDA6F8">
            <w:pPr>
              <w:jc w:val="center"/>
            </w:pPr>
            <w:r>
              <w:rPr>
                <w:rFonts w:ascii="宋体" w:hAnsi="宋体" w:eastAsia="宋体"/>
                <w:sz w:val="16"/>
              </w:rPr>
              <w:t>229.84</w:t>
            </w:r>
          </w:p>
        </w:tc>
        <w:tc>
          <w:tcPr>
            <w:tcW w:w="1552"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78B55F">
            <w:pPr>
              <w:jc w:val="center"/>
            </w:pPr>
            <w:r>
              <w:rPr>
                <w:rFonts w:ascii="宋体" w:hAnsi="宋体" w:eastAsia="宋体"/>
                <w:sz w:val="16"/>
              </w:rPr>
              <w:t>201.66</w:t>
            </w:r>
          </w:p>
        </w:tc>
        <w:tc>
          <w:tcPr>
            <w:tcW w:w="140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065D81">
            <w:pPr>
              <w:jc w:val="center"/>
            </w:pPr>
            <w:r>
              <w:rPr>
                <w:rFonts w:ascii="宋体" w:hAnsi="宋体" w:eastAsia="宋体"/>
                <w:sz w:val="16"/>
              </w:rPr>
              <w:t>144.67</w:t>
            </w:r>
          </w:p>
        </w:tc>
        <w:tc>
          <w:tcPr>
            <w:tcW w:w="1184"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EDBF9E">
            <w:pPr>
              <w:jc w:val="center"/>
            </w:pPr>
            <w:r>
              <w:rPr>
                <w:rFonts w:ascii="宋体" w:hAnsi="宋体" w:eastAsia="宋体"/>
                <w:sz w:val="16"/>
              </w:rPr>
              <w:t>—</w:t>
            </w:r>
          </w:p>
        </w:tc>
        <w:tc>
          <w:tcPr>
            <w:tcW w:w="119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9C6286">
            <w:pPr>
              <w:jc w:val="center"/>
            </w:pPr>
            <w:r>
              <w:rPr>
                <w:rFonts w:ascii="宋体" w:hAnsi="宋体" w:eastAsia="宋体"/>
                <w:sz w:val="16"/>
              </w:rPr>
              <w:t>—</w:t>
            </w:r>
          </w:p>
        </w:tc>
        <w:tc>
          <w:tcPr>
            <w:tcW w:w="618" w:type="dxa"/>
            <w:tcBorders>
              <w:top w:val="single" w:color="auto" w:sz="10" w:space="0"/>
              <w:left w:val="single" w:color="auto" w:sz="10" w:space="0"/>
              <w:bottom w:val="single" w:color="auto" w:sz="10" w:space="0"/>
              <w:right w:val="single" w:color="auto" w:sz="10" w:space="0"/>
              <w:insideV w:val="single" w:sz="10" w:space="0"/>
            </w:tcBorders>
            <w:vAlign w:val="center"/>
          </w:tcPr>
          <w:p w14:paraId="0EE7EE4C">
            <w:pPr>
              <w:jc w:val="center"/>
            </w:pPr>
            <w:r>
              <w:rPr>
                <w:rFonts w:ascii="宋体" w:hAnsi="宋体" w:eastAsia="宋体"/>
                <w:sz w:val="16"/>
              </w:rPr>
              <w:t>—</w:t>
            </w:r>
          </w:p>
        </w:tc>
      </w:tr>
      <w:tr w14:paraId="056E34D6">
        <w:tblPrEx>
          <w:tblCellMar>
            <w:top w:w="0" w:type="dxa"/>
            <w:left w:w="108" w:type="dxa"/>
            <w:bottom w:w="0" w:type="dxa"/>
            <w:right w:w="108" w:type="dxa"/>
          </w:tblCellMar>
        </w:tblPrEx>
        <w:tc>
          <w:tcPr>
            <w:tcW w:w="61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674ECF">
            <w:pPr>
              <w:jc w:val="center"/>
            </w:pPr>
            <w:r>
              <w:rPr>
                <w:rFonts w:ascii="宋体" w:hAnsi="宋体" w:eastAsia="宋体"/>
                <w:sz w:val="16"/>
              </w:rPr>
              <w:t>年度总体目标</w:t>
            </w:r>
          </w:p>
        </w:tc>
        <w:tc>
          <w:tcPr>
            <w:tcW w:w="481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CF285C4">
            <w:pPr>
              <w:jc w:val="center"/>
            </w:pPr>
            <w:r>
              <w:rPr>
                <w:rFonts w:ascii="宋体" w:hAnsi="宋体" w:eastAsia="宋体"/>
                <w:sz w:val="16"/>
              </w:rPr>
              <w:t>预期目标</w:t>
            </w:r>
          </w:p>
        </w:tc>
        <w:tc>
          <w:tcPr>
            <w:tcW w:w="3630"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88C401C">
            <w:pPr>
              <w:jc w:val="center"/>
            </w:pPr>
            <w:r>
              <w:rPr>
                <w:rFonts w:ascii="宋体" w:hAnsi="宋体" w:eastAsia="宋体"/>
                <w:sz w:val="16"/>
              </w:rPr>
              <w:t>实际完成情况</w:t>
            </w:r>
          </w:p>
        </w:tc>
      </w:tr>
      <w:tr w14:paraId="778AE703">
        <w:tblPrEx>
          <w:tblCellMar>
            <w:top w:w="0" w:type="dxa"/>
            <w:left w:w="108" w:type="dxa"/>
            <w:bottom w:w="0" w:type="dxa"/>
            <w:right w:w="108" w:type="dxa"/>
          </w:tblCellMar>
        </w:tblPrEx>
        <w:tc>
          <w:tcPr>
            <w:tcW w:w="617" w:type="dxa"/>
            <w:vMerge w:val="continue"/>
            <w:tcBorders>
              <w:top w:val="single" w:color="auto" w:sz="10" w:space="0"/>
              <w:left w:val="single" w:color="auto" w:sz="10" w:space="0"/>
              <w:bottom w:val="single" w:color="auto" w:sz="10" w:space="0"/>
              <w:right w:val="single" w:color="auto" w:sz="10" w:space="0"/>
              <w:insideV w:val="single" w:sz="10" w:space="0"/>
            </w:tcBorders>
          </w:tcPr>
          <w:p w14:paraId="7B5EC4AA"/>
        </w:tc>
        <w:tc>
          <w:tcPr>
            <w:tcW w:w="481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FD6BD54">
            <w:pPr>
              <w:jc w:val="both"/>
            </w:pPr>
            <w:r>
              <w:rPr>
                <w:rFonts w:ascii="宋体" w:hAnsi="宋体" w:eastAsia="宋体"/>
                <w:sz w:val="16"/>
              </w:rPr>
              <w:t>按照我院实际工作需求，机关运行补助201.66万元计划用于保障办案人员数量大于等于38人，办公费等支付资金小于等于64.91万元，改造项目工程数量大于等于2个，政府采购率预期达到95%以上，修缮验收合格率预期达到95%以上，维修设备购置等支付资金小于等于136.75万元。该项目的实施能保障单位机关正常运行，推进基层院建设、助力脱薄争先的重要举措，旨在提高检察干警综合素养。</w:t>
            </w:r>
          </w:p>
        </w:tc>
        <w:tc>
          <w:tcPr>
            <w:tcW w:w="3630"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02F0B10">
            <w:pPr>
              <w:jc w:val="both"/>
            </w:pPr>
            <w:r>
              <w:rPr>
                <w:rFonts w:ascii="宋体" w:hAnsi="宋体" w:eastAsia="宋体"/>
                <w:sz w:val="16"/>
              </w:rPr>
              <w:br w:type="textWrapping"/>
            </w:r>
            <w:r>
              <w:rPr>
                <w:rFonts w:ascii="宋体" w:hAnsi="宋体" w:eastAsia="宋体"/>
                <w:sz w:val="16"/>
              </w:rPr>
              <w:t>截至2024年12月31日，机关运行补助（自有资金）实际用于保障办案人员数量41人，办公费等支付资金61.17万元，改造项目工程数量2个，维修设备购置等支付资金83.5万元，政府采购率预期达到100%，修缮验收合格率预期达到100%；通过该项目的实施保障单位机关正常运行，有效提升了干警的业务能力，促进了持续提高为人民群众提供有效的公共法律服务水平。</w:t>
            </w:r>
          </w:p>
        </w:tc>
      </w:tr>
      <w:tr w14:paraId="22DA61D2">
        <w:tblPrEx>
          <w:tblCellMar>
            <w:top w:w="0" w:type="dxa"/>
            <w:left w:w="108" w:type="dxa"/>
            <w:bottom w:w="0" w:type="dxa"/>
            <w:right w:w="108" w:type="dxa"/>
          </w:tblCellMar>
        </w:tblPrEx>
        <w:tc>
          <w:tcPr>
            <w:tcW w:w="617" w:type="dxa"/>
            <w:tcBorders>
              <w:top w:val="single" w:color="auto" w:sz="10" w:space="0"/>
              <w:left w:val="single" w:color="auto" w:sz="10" w:space="0"/>
              <w:bottom w:val="single" w:color="auto" w:sz="10" w:space="0"/>
              <w:right w:val="single" w:color="auto" w:sz="10" w:space="0"/>
              <w:insideV w:val="single" w:sz="10" w:space="0"/>
            </w:tcBorders>
          </w:tcPr>
          <w:p w14:paraId="34850695"/>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14:paraId="00D4C1C9">
            <w:pPr>
              <w:jc w:val="center"/>
            </w:pPr>
            <w:r>
              <w:rPr>
                <w:rFonts w:ascii="宋体" w:hAnsi="宋体" w:eastAsia="宋体"/>
                <w:sz w:val="16"/>
              </w:rPr>
              <w:t>一级指标</w:t>
            </w:r>
          </w:p>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14:paraId="0344EB29">
            <w:pPr>
              <w:jc w:val="center"/>
            </w:pPr>
            <w:r>
              <w:rPr>
                <w:rFonts w:ascii="宋体" w:hAnsi="宋体" w:eastAsia="宋体"/>
                <w:sz w:val="16"/>
              </w:rPr>
              <w:t>二级指标</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24524B03">
            <w:pPr>
              <w:jc w:val="center"/>
            </w:pPr>
            <w:r>
              <w:rPr>
                <w:rFonts w:ascii="宋体" w:hAnsi="宋体" w:eastAsia="宋体"/>
                <w:sz w:val="16"/>
              </w:rPr>
              <w:t>三级指标</w:t>
            </w:r>
          </w:p>
        </w:tc>
        <w:tc>
          <w:tcPr>
            <w:tcW w:w="605" w:type="dxa"/>
            <w:tcBorders>
              <w:top w:val="single" w:color="auto" w:sz="10" w:space="0"/>
              <w:left w:val="single" w:color="auto" w:sz="10" w:space="0"/>
              <w:bottom w:val="single" w:color="auto" w:sz="10" w:space="0"/>
              <w:right w:val="single" w:color="auto" w:sz="10" w:space="0"/>
              <w:insideV w:val="single" w:sz="10" w:space="0"/>
            </w:tcBorders>
            <w:vAlign w:val="center"/>
          </w:tcPr>
          <w:p w14:paraId="5E864EED">
            <w:pPr>
              <w:jc w:val="center"/>
            </w:pPr>
            <w:r>
              <w:rPr>
                <w:rFonts w:ascii="宋体" w:hAnsi="宋体" w:eastAsia="宋体"/>
                <w:sz w:val="16"/>
              </w:rPr>
              <w:t>权重</w:t>
            </w:r>
          </w:p>
        </w:tc>
        <w:tc>
          <w:tcPr>
            <w:tcW w:w="856" w:type="dxa"/>
            <w:tcBorders>
              <w:top w:val="single" w:color="auto" w:sz="10" w:space="0"/>
              <w:left w:val="single" w:color="auto" w:sz="10" w:space="0"/>
              <w:bottom w:val="single" w:color="auto" w:sz="10" w:space="0"/>
              <w:right w:val="single" w:color="auto" w:sz="10" w:space="0"/>
              <w:insideV w:val="single" w:sz="10" w:space="0"/>
            </w:tcBorders>
            <w:vAlign w:val="center"/>
          </w:tcPr>
          <w:p w14:paraId="5F315908">
            <w:pPr>
              <w:jc w:val="center"/>
            </w:pPr>
            <w:r>
              <w:rPr>
                <w:rFonts w:ascii="宋体" w:hAnsi="宋体" w:eastAsia="宋体"/>
                <w:sz w:val="16"/>
              </w:rPr>
              <w:t>目标值</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2513D466">
            <w:pPr>
              <w:jc w:val="center"/>
            </w:pPr>
            <w:r>
              <w:rPr>
                <w:rFonts w:ascii="宋体" w:hAnsi="宋体" w:eastAsia="宋体"/>
                <w:sz w:val="16"/>
              </w:rPr>
              <w:t>业绩值</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36DA5B09">
            <w:pPr>
              <w:jc w:val="center"/>
            </w:pPr>
            <w:r>
              <w:rPr>
                <w:rFonts w:ascii="宋体" w:hAnsi="宋体" w:eastAsia="宋体"/>
                <w:sz w:val="16"/>
              </w:rPr>
              <w:t>完成率</w:t>
            </w:r>
          </w:p>
        </w:tc>
        <w:tc>
          <w:tcPr>
            <w:tcW w:w="630" w:type="dxa"/>
            <w:tcBorders>
              <w:top w:val="single" w:color="auto" w:sz="10" w:space="0"/>
              <w:left w:val="single" w:color="auto" w:sz="10" w:space="0"/>
              <w:bottom w:val="single" w:color="auto" w:sz="10" w:space="0"/>
              <w:right w:val="single" w:color="auto" w:sz="10" w:space="0"/>
              <w:insideV w:val="single" w:sz="10" w:space="0"/>
            </w:tcBorders>
            <w:vAlign w:val="center"/>
          </w:tcPr>
          <w:p w14:paraId="72052F60">
            <w:pPr>
              <w:jc w:val="center"/>
            </w:pPr>
            <w:r>
              <w:rPr>
                <w:rFonts w:ascii="宋体" w:hAnsi="宋体" w:eastAsia="宋体"/>
                <w:sz w:val="16"/>
              </w:rPr>
              <w:t>指标得分</w:t>
            </w:r>
          </w:p>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14:paraId="326528E4">
            <w:pPr>
              <w:jc w:val="center"/>
            </w:pPr>
            <w:r>
              <w:rPr>
                <w:rFonts w:ascii="宋体" w:hAnsi="宋体" w:eastAsia="宋体"/>
                <w:sz w:val="16"/>
              </w:rPr>
              <w:t>指标值设定依据</w:t>
            </w:r>
          </w:p>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14:paraId="392B0E1E">
            <w:pPr>
              <w:jc w:val="center"/>
            </w:pPr>
            <w:r>
              <w:rPr>
                <w:rFonts w:ascii="宋体" w:hAnsi="宋体" w:eastAsia="宋体"/>
                <w:sz w:val="16"/>
              </w:rPr>
              <w:t>上年完成情况</w:t>
            </w:r>
          </w:p>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14:paraId="436BAD87">
            <w:pPr>
              <w:jc w:val="center"/>
            </w:pPr>
            <w:r>
              <w:rPr>
                <w:rFonts w:ascii="宋体" w:hAnsi="宋体" w:eastAsia="宋体"/>
                <w:sz w:val="16"/>
              </w:rPr>
              <w:t>赋分规则</w:t>
            </w:r>
          </w:p>
        </w:tc>
        <w:tc>
          <w:tcPr>
            <w:tcW w:w="606" w:type="dxa"/>
            <w:tcBorders>
              <w:top w:val="single" w:color="auto" w:sz="10" w:space="0"/>
              <w:left w:val="single" w:color="auto" w:sz="10" w:space="0"/>
              <w:bottom w:val="single" w:color="auto" w:sz="10" w:space="0"/>
              <w:right w:val="single" w:color="auto" w:sz="10" w:space="0"/>
              <w:insideV w:val="single" w:sz="10" w:space="0"/>
            </w:tcBorders>
            <w:vAlign w:val="center"/>
          </w:tcPr>
          <w:p w14:paraId="66A5C930">
            <w:pPr>
              <w:jc w:val="center"/>
            </w:pPr>
            <w:r>
              <w:rPr>
                <w:rFonts w:ascii="宋体" w:hAnsi="宋体" w:eastAsia="宋体"/>
                <w:sz w:val="16"/>
              </w:rPr>
              <w:t>佐证资料</w:t>
            </w:r>
          </w:p>
        </w:tc>
        <w:tc>
          <w:tcPr>
            <w:tcW w:w="618" w:type="dxa"/>
            <w:tcBorders>
              <w:top w:val="single" w:color="auto" w:sz="10" w:space="0"/>
              <w:left w:val="single" w:color="auto" w:sz="10" w:space="0"/>
              <w:bottom w:val="single" w:color="auto" w:sz="10" w:space="0"/>
              <w:right w:val="single" w:color="auto" w:sz="10" w:space="0"/>
              <w:insideV w:val="single" w:sz="10" w:space="0"/>
            </w:tcBorders>
            <w:vAlign w:val="center"/>
          </w:tcPr>
          <w:p w14:paraId="31D1C0FE">
            <w:pPr>
              <w:jc w:val="center"/>
            </w:pPr>
            <w:r>
              <w:rPr>
                <w:rFonts w:ascii="宋体" w:hAnsi="宋体" w:eastAsia="宋体"/>
                <w:sz w:val="16"/>
              </w:rPr>
              <w:t>偏差原因分析及改进措施</w:t>
            </w:r>
          </w:p>
        </w:tc>
      </w:tr>
      <w:tr w14:paraId="3313E005">
        <w:tblPrEx>
          <w:tblCellMar>
            <w:top w:w="0" w:type="dxa"/>
            <w:left w:w="108" w:type="dxa"/>
            <w:bottom w:w="0" w:type="dxa"/>
            <w:right w:w="108" w:type="dxa"/>
          </w:tblCellMar>
        </w:tblPrEx>
        <w:tc>
          <w:tcPr>
            <w:tcW w:w="61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2D6CA4">
            <w:pPr>
              <w:jc w:val="center"/>
            </w:pPr>
            <w:r>
              <w:rPr>
                <w:rFonts w:ascii="宋体" w:hAnsi="宋体" w:eastAsia="宋体"/>
                <w:sz w:val="16"/>
              </w:rPr>
              <w:t>年度绩效指标完成情况</w:t>
            </w:r>
          </w:p>
        </w:tc>
        <w:tc>
          <w:tcPr>
            <w:tcW w:w="59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78B6D0">
            <w:pPr>
              <w:jc w:val="center"/>
            </w:pPr>
            <w:r>
              <w:rPr>
                <w:rFonts w:ascii="宋体" w:hAnsi="宋体" w:eastAsia="宋体"/>
                <w:sz w:val="16"/>
              </w:rPr>
              <w:t>产出指标</w:t>
            </w:r>
          </w:p>
        </w:tc>
        <w:tc>
          <w:tcPr>
            <w:tcW w:w="59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03EF1C">
            <w:pPr>
              <w:jc w:val="center"/>
            </w:pPr>
            <w:r>
              <w:rPr>
                <w:rFonts w:ascii="宋体" w:hAnsi="宋体" w:eastAsia="宋体"/>
                <w:sz w:val="16"/>
              </w:rPr>
              <w:t>数量指标</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41ED4E61">
            <w:pPr>
              <w:jc w:val="center"/>
            </w:pPr>
            <w:r>
              <w:rPr>
                <w:rFonts w:ascii="宋体" w:hAnsi="宋体" w:eastAsia="宋体"/>
                <w:sz w:val="16"/>
              </w:rPr>
              <w:t>维修改造项目工程数量</w:t>
            </w:r>
          </w:p>
        </w:tc>
        <w:tc>
          <w:tcPr>
            <w:tcW w:w="605" w:type="dxa"/>
            <w:tcBorders>
              <w:top w:val="single" w:color="auto" w:sz="10" w:space="0"/>
              <w:left w:val="single" w:color="auto" w:sz="10" w:space="0"/>
              <w:bottom w:val="single" w:color="auto" w:sz="10" w:space="0"/>
              <w:right w:val="single" w:color="auto" w:sz="10" w:space="0"/>
              <w:insideV w:val="single" w:sz="10" w:space="0"/>
            </w:tcBorders>
            <w:vAlign w:val="center"/>
          </w:tcPr>
          <w:p w14:paraId="4299127A">
            <w:pPr>
              <w:jc w:val="center"/>
            </w:pPr>
            <w:r>
              <w:rPr>
                <w:rFonts w:ascii="宋体" w:hAnsi="宋体" w:eastAsia="宋体"/>
                <w:sz w:val="16"/>
              </w:rPr>
              <w:t>10</w:t>
            </w:r>
          </w:p>
        </w:tc>
        <w:tc>
          <w:tcPr>
            <w:tcW w:w="856" w:type="dxa"/>
            <w:tcBorders>
              <w:top w:val="single" w:color="auto" w:sz="10" w:space="0"/>
              <w:left w:val="single" w:color="auto" w:sz="10" w:space="0"/>
              <w:bottom w:val="single" w:color="auto" w:sz="10" w:space="0"/>
              <w:right w:val="single" w:color="auto" w:sz="10" w:space="0"/>
              <w:insideV w:val="single" w:sz="10" w:space="0"/>
            </w:tcBorders>
            <w:vAlign w:val="center"/>
          </w:tcPr>
          <w:p w14:paraId="6ED7C153">
            <w:pPr>
              <w:jc w:val="center"/>
            </w:pPr>
            <w:r>
              <w:rPr>
                <w:rFonts w:ascii="宋体" w:hAnsi="宋体" w:eastAsia="宋体"/>
                <w:sz w:val="16"/>
              </w:rPr>
              <w:t>=2个</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33CD35BA">
            <w:pPr>
              <w:jc w:val="center"/>
            </w:pPr>
            <w:r>
              <w:rPr>
                <w:rFonts w:ascii="宋体" w:hAnsi="宋体" w:eastAsia="宋体"/>
                <w:sz w:val="16"/>
              </w:rPr>
              <w:t>=2个</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2FC2079C">
            <w:pPr>
              <w:jc w:val="center"/>
            </w:pPr>
            <w:r>
              <w:rPr>
                <w:rFonts w:ascii="宋体" w:hAnsi="宋体" w:eastAsia="宋体"/>
                <w:sz w:val="16"/>
              </w:rPr>
              <w:t>100%</w:t>
            </w:r>
          </w:p>
        </w:tc>
        <w:tc>
          <w:tcPr>
            <w:tcW w:w="630" w:type="dxa"/>
            <w:tcBorders>
              <w:top w:val="single" w:color="auto" w:sz="10" w:space="0"/>
              <w:left w:val="single" w:color="auto" w:sz="10" w:space="0"/>
              <w:bottom w:val="single" w:color="auto" w:sz="10" w:space="0"/>
              <w:right w:val="single" w:color="auto" w:sz="10" w:space="0"/>
              <w:insideV w:val="single" w:sz="10" w:space="0"/>
            </w:tcBorders>
            <w:vAlign w:val="center"/>
          </w:tcPr>
          <w:p w14:paraId="3674F535">
            <w:pPr>
              <w:jc w:val="center"/>
            </w:pPr>
            <w:r>
              <w:rPr>
                <w:rFonts w:ascii="宋体" w:hAnsi="宋体" w:eastAsia="宋体"/>
                <w:sz w:val="16"/>
              </w:rPr>
              <w:t>10</w:t>
            </w:r>
          </w:p>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14:paraId="4A9A2F22">
            <w:pPr>
              <w:jc w:val="center"/>
            </w:pPr>
            <w:r>
              <w:rPr>
                <w:rFonts w:ascii="宋体" w:hAnsi="宋体" w:eastAsia="宋体"/>
                <w:sz w:val="16"/>
              </w:rPr>
              <w:t>计划标准</w:t>
            </w:r>
          </w:p>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14:paraId="55C67363">
            <w:pPr>
              <w:jc w:val="center"/>
            </w:pPr>
            <w:r>
              <w:rPr>
                <w:rFonts w:ascii="宋体" w:hAnsi="宋体" w:eastAsia="宋体"/>
                <w:sz w:val="16"/>
              </w:rPr>
              <w:t>-</w:t>
            </w:r>
          </w:p>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14:paraId="4B39AECF">
            <w:pPr>
              <w:jc w:val="center"/>
            </w:pPr>
            <w:r>
              <w:rPr>
                <w:rFonts w:ascii="宋体" w:hAnsi="宋体" w:eastAsia="宋体"/>
                <w:sz w:val="16"/>
              </w:rPr>
              <w:t>按照完成比例赋分</w:t>
            </w:r>
          </w:p>
        </w:tc>
        <w:tc>
          <w:tcPr>
            <w:tcW w:w="606" w:type="dxa"/>
            <w:tcBorders>
              <w:top w:val="single" w:color="auto" w:sz="10" w:space="0"/>
              <w:left w:val="single" w:color="auto" w:sz="10" w:space="0"/>
              <w:bottom w:val="single" w:color="auto" w:sz="10" w:space="0"/>
              <w:right w:val="single" w:color="auto" w:sz="10" w:space="0"/>
              <w:insideV w:val="single" w:sz="10" w:space="0"/>
            </w:tcBorders>
            <w:vAlign w:val="center"/>
          </w:tcPr>
          <w:p w14:paraId="683E42C8">
            <w:pPr>
              <w:jc w:val="center"/>
            </w:pPr>
            <w:r>
              <w:rPr>
                <w:rFonts w:ascii="宋体" w:hAnsi="宋体" w:eastAsia="宋体"/>
                <w:sz w:val="16"/>
              </w:rPr>
              <w:t>工作资料</w:t>
            </w:r>
          </w:p>
        </w:tc>
        <w:tc>
          <w:tcPr>
            <w:tcW w:w="618" w:type="dxa"/>
            <w:tcBorders>
              <w:top w:val="single" w:color="auto" w:sz="10" w:space="0"/>
              <w:left w:val="single" w:color="auto" w:sz="10" w:space="0"/>
              <w:bottom w:val="single" w:color="auto" w:sz="10" w:space="0"/>
              <w:right w:val="single" w:color="auto" w:sz="10" w:space="0"/>
              <w:insideV w:val="single" w:sz="10" w:space="0"/>
            </w:tcBorders>
            <w:vAlign w:val="center"/>
          </w:tcPr>
          <w:p w14:paraId="3436A57D">
            <w:pPr>
              <w:jc w:val="center"/>
            </w:pPr>
          </w:p>
        </w:tc>
      </w:tr>
      <w:tr w14:paraId="77733787">
        <w:tblPrEx>
          <w:tblCellMar>
            <w:top w:w="0" w:type="dxa"/>
            <w:left w:w="108" w:type="dxa"/>
            <w:bottom w:w="0" w:type="dxa"/>
            <w:right w:w="108" w:type="dxa"/>
          </w:tblCellMar>
        </w:tblPrEx>
        <w:tc>
          <w:tcPr>
            <w:tcW w:w="617" w:type="dxa"/>
            <w:vMerge w:val="continue"/>
            <w:tcBorders>
              <w:top w:val="single" w:color="auto" w:sz="10" w:space="0"/>
              <w:left w:val="single" w:color="auto" w:sz="10" w:space="0"/>
              <w:bottom w:val="single" w:color="auto" w:sz="10" w:space="0"/>
              <w:right w:val="single" w:color="auto" w:sz="10" w:space="0"/>
              <w:insideV w:val="single" w:sz="10" w:space="0"/>
            </w:tcBorders>
          </w:tcPr>
          <w:p w14:paraId="426700A6"/>
        </w:tc>
        <w:tc>
          <w:tcPr>
            <w:tcW w:w="592" w:type="dxa"/>
            <w:vMerge w:val="continue"/>
            <w:tcBorders>
              <w:top w:val="single" w:color="auto" w:sz="10" w:space="0"/>
              <w:left w:val="single" w:color="auto" w:sz="10" w:space="0"/>
              <w:bottom w:val="single" w:color="auto" w:sz="10" w:space="0"/>
              <w:right w:val="single" w:color="auto" w:sz="10" w:space="0"/>
              <w:insideV w:val="single" w:sz="10" w:space="0"/>
            </w:tcBorders>
          </w:tcPr>
          <w:p w14:paraId="561DCC56"/>
        </w:tc>
        <w:tc>
          <w:tcPr>
            <w:tcW w:w="592" w:type="dxa"/>
            <w:vMerge w:val="continue"/>
            <w:tcBorders>
              <w:top w:val="single" w:color="auto" w:sz="10" w:space="0"/>
              <w:left w:val="single" w:color="auto" w:sz="10" w:space="0"/>
              <w:bottom w:val="single" w:color="auto" w:sz="10" w:space="0"/>
              <w:right w:val="single" w:color="auto" w:sz="10" w:space="0"/>
              <w:insideV w:val="single" w:sz="10" w:space="0"/>
            </w:tcBorders>
          </w:tcPr>
          <w:p w14:paraId="64E400D6"/>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29DF206A">
            <w:pPr>
              <w:jc w:val="center"/>
            </w:pPr>
            <w:r>
              <w:rPr>
                <w:rFonts w:ascii="宋体" w:hAnsi="宋体" w:eastAsia="宋体"/>
                <w:sz w:val="16"/>
              </w:rPr>
              <w:t>保障人员数（人）</w:t>
            </w:r>
          </w:p>
        </w:tc>
        <w:tc>
          <w:tcPr>
            <w:tcW w:w="605" w:type="dxa"/>
            <w:tcBorders>
              <w:top w:val="single" w:color="auto" w:sz="10" w:space="0"/>
              <w:left w:val="single" w:color="auto" w:sz="10" w:space="0"/>
              <w:bottom w:val="single" w:color="auto" w:sz="10" w:space="0"/>
              <w:right w:val="single" w:color="auto" w:sz="10" w:space="0"/>
              <w:insideV w:val="single" w:sz="10" w:space="0"/>
            </w:tcBorders>
            <w:vAlign w:val="center"/>
          </w:tcPr>
          <w:p w14:paraId="3BAFA288">
            <w:pPr>
              <w:jc w:val="center"/>
            </w:pPr>
            <w:r>
              <w:rPr>
                <w:rFonts w:ascii="宋体" w:hAnsi="宋体" w:eastAsia="宋体"/>
                <w:sz w:val="16"/>
              </w:rPr>
              <w:t>8</w:t>
            </w:r>
          </w:p>
        </w:tc>
        <w:tc>
          <w:tcPr>
            <w:tcW w:w="856" w:type="dxa"/>
            <w:tcBorders>
              <w:top w:val="single" w:color="auto" w:sz="10" w:space="0"/>
              <w:left w:val="single" w:color="auto" w:sz="10" w:space="0"/>
              <w:bottom w:val="single" w:color="auto" w:sz="10" w:space="0"/>
              <w:right w:val="single" w:color="auto" w:sz="10" w:space="0"/>
              <w:insideV w:val="single" w:sz="10" w:space="0"/>
            </w:tcBorders>
            <w:vAlign w:val="center"/>
          </w:tcPr>
          <w:p w14:paraId="12386D89">
            <w:pPr>
              <w:jc w:val="center"/>
            </w:pPr>
            <w:r>
              <w:rPr>
                <w:rFonts w:ascii="宋体" w:hAnsi="宋体" w:eastAsia="宋体"/>
                <w:sz w:val="16"/>
              </w:rPr>
              <w:t>&gt;=38人</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6C774CED">
            <w:pPr>
              <w:jc w:val="center"/>
            </w:pPr>
            <w:r>
              <w:rPr>
                <w:rFonts w:ascii="宋体" w:hAnsi="宋体" w:eastAsia="宋体"/>
                <w:sz w:val="16"/>
              </w:rPr>
              <w:t>=41人</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55BC813E">
            <w:pPr>
              <w:jc w:val="center"/>
            </w:pPr>
            <w:r>
              <w:rPr>
                <w:rFonts w:ascii="宋体" w:hAnsi="宋体" w:eastAsia="宋体"/>
                <w:sz w:val="16"/>
              </w:rPr>
              <w:t>107.89%</w:t>
            </w:r>
          </w:p>
        </w:tc>
        <w:tc>
          <w:tcPr>
            <w:tcW w:w="630" w:type="dxa"/>
            <w:tcBorders>
              <w:top w:val="single" w:color="auto" w:sz="10" w:space="0"/>
              <w:left w:val="single" w:color="auto" w:sz="10" w:space="0"/>
              <w:bottom w:val="single" w:color="auto" w:sz="10" w:space="0"/>
              <w:right w:val="single" w:color="auto" w:sz="10" w:space="0"/>
              <w:insideV w:val="single" w:sz="10" w:space="0"/>
            </w:tcBorders>
            <w:vAlign w:val="center"/>
          </w:tcPr>
          <w:p w14:paraId="17B7C6C6">
            <w:pPr>
              <w:jc w:val="center"/>
            </w:pPr>
            <w:r>
              <w:rPr>
                <w:rFonts w:ascii="宋体" w:hAnsi="宋体" w:eastAsia="宋体"/>
                <w:sz w:val="16"/>
              </w:rPr>
              <w:t>7.37</w:t>
            </w:r>
          </w:p>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14:paraId="0AC49214">
            <w:pPr>
              <w:jc w:val="center"/>
            </w:pPr>
            <w:r>
              <w:rPr>
                <w:rFonts w:ascii="宋体" w:hAnsi="宋体" w:eastAsia="宋体"/>
                <w:sz w:val="16"/>
              </w:rPr>
              <w:t>计划标准</w:t>
            </w:r>
          </w:p>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14:paraId="67EA1D68">
            <w:pPr>
              <w:jc w:val="center"/>
            </w:pPr>
            <w:r>
              <w:rPr>
                <w:rFonts w:ascii="宋体" w:hAnsi="宋体" w:eastAsia="宋体"/>
                <w:sz w:val="16"/>
              </w:rPr>
              <w:t>-</w:t>
            </w:r>
          </w:p>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14:paraId="37CEAE0A">
            <w:pPr>
              <w:jc w:val="center"/>
            </w:pPr>
            <w:r>
              <w:rPr>
                <w:rFonts w:ascii="宋体" w:hAnsi="宋体" w:eastAsia="宋体"/>
                <w:sz w:val="16"/>
              </w:rPr>
              <w:t>按照完成比例赋分</w:t>
            </w:r>
          </w:p>
        </w:tc>
        <w:tc>
          <w:tcPr>
            <w:tcW w:w="606" w:type="dxa"/>
            <w:tcBorders>
              <w:top w:val="single" w:color="auto" w:sz="10" w:space="0"/>
              <w:left w:val="single" w:color="auto" w:sz="10" w:space="0"/>
              <w:bottom w:val="single" w:color="auto" w:sz="10" w:space="0"/>
              <w:right w:val="single" w:color="auto" w:sz="10" w:space="0"/>
              <w:insideV w:val="single" w:sz="10" w:space="0"/>
            </w:tcBorders>
            <w:vAlign w:val="center"/>
          </w:tcPr>
          <w:p w14:paraId="524F4571">
            <w:pPr>
              <w:jc w:val="center"/>
            </w:pPr>
            <w:r>
              <w:rPr>
                <w:rFonts w:ascii="宋体" w:hAnsi="宋体" w:eastAsia="宋体"/>
                <w:sz w:val="16"/>
              </w:rPr>
              <w:t>工作资料</w:t>
            </w:r>
          </w:p>
        </w:tc>
        <w:tc>
          <w:tcPr>
            <w:tcW w:w="618" w:type="dxa"/>
            <w:tcBorders>
              <w:top w:val="single" w:color="auto" w:sz="10" w:space="0"/>
              <w:left w:val="single" w:color="auto" w:sz="10" w:space="0"/>
              <w:bottom w:val="single" w:color="auto" w:sz="10" w:space="0"/>
              <w:right w:val="single" w:color="auto" w:sz="10" w:space="0"/>
              <w:insideV w:val="single" w:sz="10" w:space="0"/>
            </w:tcBorders>
            <w:vAlign w:val="center"/>
          </w:tcPr>
          <w:p w14:paraId="6200D011">
            <w:pPr>
              <w:jc w:val="center"/>
            </w:pPr>
            <w:r>
              <w:rPr>
                <w:rFonts w:ascii="宋体" w:hAnsi="宋体" w:eastAsia="宋体"/>
                <w:sz w:val="16"/>
              </w:rPr>
              <w:t>该指标计划值设定根据上年度情况设定，因本年度有新增人员，导致有偏差。</w:t>
            </w:r>
          </w:p>
        </w:tc>
      </w:tr>
      <w:tr w14:paraId="4767D661">
        <w:tblPrEx>
          <w:tblCellMar>
            <w:top w:w="0" w:type="dxa"/>
            <w:left w:w="108" w:type="dxa"/>
            <w:bottom w:w="0" w:type="dxa"/>
            <w:right w:w="108" w:type="dxa"/>
          </w:tblCellMar>
        </w:tblPrEx>
        <w:tc>
          <w:tcPr>
            <w:tcW w:w="617" w:type="dxa"/>
            <w:vMerge w:val="continue"/>
            <w:tcBorders>
              <w:top w:val="single" w:color="auto" w:sz="10" w:space="0"/>
              <w:left w:val="single" w:color="auto" w:sz="10" w:space="0"/>
              <w:bottom w:val="single" w:color="auto" w:sz="10" w:space="0"/>
              <w:right w:val="single" w:color="auto" w:sz="10" w:space="0"/>
              <w:insideV w:val="single" w:sz="10" w:space="0"/>
            </w:tcBorders>
          </w:tcPr>
          <w:p w14:paraId="4545AEAD"/>
        </w:tc>
        <w:tc>
          <w:tcPr>
            <w:tcW w:w="592" w:type="dxa"/>
            <w:vMerge w:val="continue"/>
            <w:tcBorders>
              <w:top w:val="single" w:color="auto" w:sz="10" w:space="0"/>
              <w:left w:val="single" w:color="auto" w:sz="10" w:space="0"/>
              <w:bottom w:val="single" w:color="auto" w:sz="10" w:space="0"/>
              <w:right w:val="single" w:color="auto" w:sz="10" w:space="0"/>
              <w:insideV w:val="single" w:sz="10" w:space="0"/>
            </w:tcBorders>
          </w:tcPr>
          <w:p w14:paraId="7CF1ACC4"/>
        </w:tc>
        <w:tc>
          <w:tcPr>
            <w:tcW w:w="59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A9E75A">
            <w:pPr>
              <w:jc w:val="center"/>
            </w:pPr>
            <w:r>
              <w:rPr>
                <w:rFonts w:ascii="宋体" w:hAnsi="宋体" w:eastAsia="宋体"/>
                <w:sz w:val="16"/>
              </w:rPr>
              <w:t>质量指标</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6E54720D">
            <w:pPr>
              <w:jc w:val="center"/>
            </w:pPr>
            <w:r>
              <w:rPr>
                <w:rFonts w:ascii="宋体" w:hAnsi="宋体" w:eastAsia="宋体"/>
                <w:sz w:val="16"/>
              </w:rPr>
              <w:t>修缮验收合格率</w:t>
            </w:r>
          </w:p>
        </w:tc>
        <w:tc>
          <w:tcPr>
            <w:tcW w:w="605" w:type="dxa"/>
            <w:tcBorders>
              <w:top w:val="single" w:color="auto" w:sz="10" w:space="0"/>
              <w:left w:val="single" w:color="auto" w:sz="10" w:space="0"/>
              <w:bottom w:val="single" w:color="auto" w:sz="10" w:space="0"/>
              <w:right w:val="single" w:color="auto" w:sz="10" w:space="0"/>
              <w:insideV w:val="single" w:sz="10" w:space="0"/>
            </w:tcBorders>
            <w:vAlign w:val="center"/>
          </w:tcPr>
          <w:p w14:paraId="1EDC309A">
            <w:pPr>
              <w:jc w:val="center"/>
            </w:pPr>
            <w:r>
              <w:rPr>
                <w:rFonts w:ascii="宋体" w:hAnsi="宋体" w:eastAsia="宋体"/>
                <w:sz w:val="16"/>
              </w:rPr>
              <w:t>15</w:t>
            </w:r>
          </w:p>
        </w:tc>
        <w:tc>
          <w:tcPr>
            <w:tcW w:w="856" w:type="dxa"/>
            <w:tcBorders>
              <w:top w:val="single" w:color="auto" w:sz="10" w:space="0"/>
              <w:left w:val="single" w:color="auto" w:sz="10" w:space="0"/>
              <w:bottom w:val="single" w:color="auto" w:sz="10" w:space="0"/>
              <w:right w:val="single" w:color="auto" w:sz="10" w:space="0"/>
              <w:insideV w:val="single" w:sz="10" w:space="0"/>
            </w:tcBorders>
            <w:vAlign w:val="center"/>
          </w:tcPr>
          <w:p w14:paraId="0300599F">
            <w:pPr>
              <w:jc w:val="center"/>
            </w:pPr>
            <w:r>
              <w:rPr>
                <w:rFonts w:ascii="宋体" w:hAnsi="宋体" w:eastAsia="宋体"/>
                <w:sz w:val="16"/>
              </w:rPr>
              <w:t>&gt;=95%</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5A13173B">
            <w:pPr>
              <w:jc w:val="center"/>
            </w:pPr>
            <w:r>
              <w:rPr>
                <w:rFonts w:ascii="宋体" w:hAnsi="宋体" w:eastAsia="宋体"/>
                <w:sz w:val="16"/>
              </w:rPr>
              <w:t>=100%</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3662F79F">
            <w:pPr>
              <w:jc w:val="center"/>
            </w:pPr>
            <w:r>
              <w:rPr>
                <w:rFonts w:ascii="宋体" w:hAnsi="宋体" w:eastAsia="宋体"/>
                <w:sz w:val="16"/>
              </w:rPr>
              <w:t>105.26%</w:t>
            </w:r>
          </w:p>
        </w:tc>
        <w:tc>
          <w:tcPr>
            <w:tcW w:w="630" w:type="dxa"/>
            <w:tcBorders>
              <w:top w:val="single" w:color="auto" w:sz="10" w:space="0"/>
              <w:left w:val="single" w:color="auto" w:sz="10" w:space="0"/>
              <w:bottom w:val="single" w:color="auto" w:sz="10" w:space="0"/>
              <w:right w:val="single" w:color="auto" w:sz="10" w:space="0"/>
              <w:insideV w:val="single" w:sz="10" w:space="0"/>
            </w:tcBorders>
            <w:vAlign w:val="center"/>
          </w:tcPr>
          <w:p w14:paraId="135903FD">
            <w:pPr>
              <w:jc w:val="center"/>
            </w:pPr>
            <w:r>
              <w:rPr>
                <w:rFonts w:ascii="宋体" w:hAnsi="宋体" w:eastAsia="宋体"/>
                <w:sz w:val="16"/>
              </w:rPr>
              <w:t>14.21</w:t>
            </w:r>
          </w:p>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14:paraId="65B525E5">
            <w:pPr>
              <w:jc w:val="center"/>
            </w:pPr>
            <w:r>
              <w:rPr>
                <w:rFonts w:ascii="宋体" w:hAnsi="宋体" w:eastAsia="宋体"/>
                <w:sz w:val="16"/>
              </w:rPr>
              <w:t>计划标准</w:t>
            </w:r>
          </w:p>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14:paraId="51B15D79">
            <w:pPr>
              <w:jc w:val="center"/>
            </w:pPr>
            <w:r>
              <w:rPr>
                <w:rFonts w:ascii="宋体" w:hAnsi="宋体" w:eastAsia="宋体"/>
                <w:sz w:val="16"/>
              </w:rPr>
              <w:t>-</w:t>
            </w:r>
          </w:p>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14:paraId="69BF00C1">
            <w:pPr>
              <w:jc w:val="center"/>
            </w:pPr>
            <w:r>
              <w:rPr>
                <w:rFonts w:ascii="宋体" w:hAnsi="宋体" w:eastAsia="宋体"/>
                <w:sz w:val="16"/>
              </w:rPr>
              <w:t>按照完成比例赋分</w:t>
            </w:r>
          </w:p>
        </w:tc>
        <w:tc>
          <w:tcPr>
            <w:tcW w:w="606" w:type="dxa"/>
            <w:tcBorders>
              <w:top w:val="single" w:color="auto" w:sz="10" w:space="0"/>
              <w:left w:val="single" w:color="auto" w:sz="10" w:space="0"/>
              <w:bottom w:val="single" w:color="auto" w:sz="10" w:space="0"/>
              <w:right w:val="single" w:color="auto" w:sz="10" w:space="0"/>
              <w:insideV w:val="single" w:sz="10" w:space="0"/>
            </w:tcBorders>
            <w:vAlign w:val="center"/>
          </w:tcPr>
          <w:p w14:paraId="2CA54011">
            <w:pPr>
              <w:jc w:val="center"/>
            </w:pPr>
            <w:r>
              <w:rPr>
                <w:rFonts w:ascii="宋体" w:hAnsi="宋体" w:eastAsia="宋体"/>
                <w:sz w:val="16"/>
              </w:rPr>
              <w:t>工作资料</w:t>
            </w:r>
          </w:p>
        </w:tc>
        <w:tc>
          <w:tcPr>
            <w:tcW w:w="618" w:type="dxa"/>
            <w:tcBorders>
              <w:top w:val="single" w:color="auto" w:sz="10" w:space="0"/>
              <w:left w:val="single" w:color="auto" w:sz="10" w:space="0"/>
              <w:bottom w:val="single" w:color="auto" w:sz="10" w:space="0"/>
              <w:right w:val="single" w:color="auto" w:sz="10" w:space="0"/>
              <w:insideV w:val="single" w:sz="10" w:space="0"/>
            </w:tcBorders>
            <w:vAlign w:val="center"/>
          </w:tcPr>
          <w:p w14:paraId="45445AAD">
            <w:pPr>
              <w:jc w:val="center"/>
            </w:pPr>
            <w:r>
              <w:rPr>
                <w:rFonts w:ascii="宋体" w:hAnsi="宋体" w:eastAsia="宋体"/>
                <w:sz w:val="16"/>
              </w:rPr>
              <w:t>该指标计划值设定根据上年度情况设定，因本年度修缮项目均验收合格，导致有偏差。</w:t>
            </w:r>
          </w:p>
        </w:tc>
      </w:tr>
      <w:tr w14:paraId="49078023">
        <w:tblPrEx>
          <w:tblCellMar>
            <w:top w:w="0" w:type="dxa"/>
            <w:left w:w="108" w:type="dxa"/>
            <w:bottom w:w="0" w:type="dxa"/>
            <w:right w:w="108" w:type="dxa"/>
          </w:tblCellMar>
        </w:tblPrEx>
        <w:tc>
          <w:tcPr>
            <w:tcW w:w="617" w:type="dxa"/>
            <w:vMerge w:val="continue"/>
            <w:tcBorders>
              <w:top w:val="single" w:color="auto" w:sz="10" w:space="0"/>
              <w:left w:val="single" w:color="auto" w:sz="10" w:space="0"/>
              <w:bottom w:val="single" w:color="auto" w:sz="10" w:space="0"/>
              <w:right w:val="single" w:color="auto" w:sz="10" w:space="0"/>
              <w:insideV w:val="single" w:sz="10" w:space="0"/>
            </w:tcBorders>
          </w:tcPr>
          <w:p w14:paraId="380B578F"/>
        </w:tc>
        <w:tc>
          <w:tcPr>
            <w:tcW w:w="592" w:type="dxa"/>
            <w:vMerge w:val="continue"/>
            <w:tcBorders>
              <w:top w:val="single" w:color="auto" w:sz="10" w:space="0"/>
              <w:left w:val="single" w:color="auto" w:sz="10" w:space="0"/>
              <w:bottom w:val="single" w:color="auto" w:sz="10" w:space="0"/>
              <w:right w:val="single" w:color="auto" w:sz="10" w:space="0"/>
              <w:insideV w:val="single" w:sz="10" w:space="0"/>
            </w:tcBorders>
          </w:tcPr>
          <w:p w14:paraId="41C4941B"/>
        </w:tc>
        <w:tc>
          <w:tcPr>
            <w:tcW w:w="592" w:type="dxa"/>
            <w:vMerge w:val="continue"/>
            <w:tcBorders>
              <w:top w:val="single" w:color="auto" w:sz="10" w:space="0"/>
              <w:left w:val="single" w:color="auto" w:sz="10" w:space="0"/>
              <w:bottom w:val="single" w:color="auto" w:sz="10" w:space="0"/>
              <w:right w:val="single" w:color="auto" w:sz="10" w:space="0"/>
              <w:insideV w:val="single" w:sz="10" w:space="0"/>
            </w:tcBorders>
          </w:tcPr>
          <w:p w14:paraId="4D5B742B"/>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2CB226D4">
            <w:pPr>
              <w:jc w:val="center"/>
            </w:pPr>
            <w:r>
              <w:rPr>
                <w:rFonts w:ascii="宋体" w:hAnsi="宋体" w:eastAsia="宋体"/>
                <w:sz w:val="16"/>
              </w:rPr>
              <w:t>采购及时率</w:t>
            </w:r>
          </w:p>
        </w:tc>
        <w:tc>
          <w:tcPr>
            <w:tcW w:w="605" w:type="dxa"/>
            <w:tcBorders>
              <w:top w:val="single" w:color="auto" w:sz="10" w:space="0"/>
              <w:left w:val="single" w:color="auto" w:sz="10" w:space="0"/>
              <w:bottom w:val="single" w:color="auto" w:sz="10" w:space="0"/>
              <w:right w:val="single" w:color="auto" w:sz="10" w:space="0"/>
              <w:insideV w:val="single" w:sz="10" w:space="0"/>
            </w:tcBorders>
            <w:vAlign w:val="center"/>
          </w:tcPr>
          <w:p w14:paraId="3B760539">
            <w:pPr>
              <w:jc w:val="center"/>
            </w:pPr>
            <w:r>
              <w:rPr>
                <w:rFonts w:ascii="宋体" w:hAnsi="宋体" w:eastAsia="宋体"/>
                <w:sz w:val="16"/>
              </w:rPr>
              <w:t>7</w:t>
            </w:r>
          </w:p>
        </w:tc>
        <w:tc>
          <w:tcPr>
            <w:tcW w:w="856" w:type="dxa"/>
            <w:tcBorders>
              <w:top w:val="single" w:color="auto" w:sz="10" w:space="0"/>
              <w:left w:val="single" w:color="auto" w:sz="10" w:space="0"/>
              <w:bottom w:val="single" w:color="auto" w:sz="10" w:space="0"/>
              <w:right w:val="single" w:color="auto" w:sz="10" w:space="0"/>
              <w:insideV w:val="single" w:sz="10" w:space="0"/>
            </w:tcBorders>
            <w:vAlign w:val="center"/>
          </w:tcPr>
          <w:p w14:paraId="325389C6">
            <w:pPr>
              <w:jc w:val="center"/>
            </w:pPr>
            <w:r>
              <w:rPr>
                <w:rFonts w:ascii="宋体" w:hAnsi="宋体" w:eastAsia="宋体"/>
                <w:sz w:val="16"/>
              </w:rPr>
              <w:t>&gt;=90%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09A21540">
            <w:pPr>
              <w:jc w:val="center"/>
            </w:pPr>
            <w:r>
              <w:rPr>
                <w:rFonts w:ascii="宋体" w:hAnsi="宋体" w:eastAsia="宋体"/>
                <w:sz w:val="16"/>
              </w:rPr>
              <w:t>=100%</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5DE9FCCE">
            <w:pPr>
              <w:jc w:val="center"/>
            </w:pPr>
            <w:r>
              <w:rPr>
                <w:rFonts w:ascii="宋体" w:hAnsi="宋体" w:eastAsia="宋体"/>
                <w:sz w:val="16"/>
              </w:rPr>
              <w:t>105.26%</w:t>
            </w:r>
          </w:p>
        </w:tc>
        <w:tc>
          <w:tcPr>
            <w:tcW w:w="630" w:type="dxa"/>
            <w:tcBorders>
              <w:top w:val="single" w:color="auto" w:sz="10" w:space="0"/>
              <w:left w:val="single" w:color="auto" w:sz="10" w:space="0"/>
              <w:bottom w:val="single" w:color="auto" w:sz="10" w:space="0"/>
              <w:right w:val="single" w:color="auto" w:sz="10" w:space="0"/>
              <w:insideV w:val="single" w:sz="10" w:space="0"/>
            </w:tcBorders>
            <w:vAlign w:val="center"/>
          </w:tcPr>
          <w:p w14:paraId="55832CB6">
            <w:pPr>
              <w:jc w:val="center"/>
            </w:pPr>
            <w:r>
              <w:rPr>
                <w:rFonts w:ascii="宋体" w:hAnsi="宋体" w:eastAsia="宋体"/>
                <w:sz w:val="16"/>
              </w:rPr>
              <w:t>6.63</w:t>
            </w:r>
          </w:p>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14:paraId="606B121D">
            <w:pPr>
              <w:jc w:val="center"/>
            </w:pPr>
            <w:r>
              <w:rPr>
                <w:rFonts w:ascii="宋体" w:hAnsi="宋体" w:eastAsia="宋体"/>
                <w:sz w:val="16"/>
              </w:rPr>
              <w:t>计划标准</w:t>
            </w:r>
          </w:p>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14:paraId="04C44E5E">
            <w:pPr>
              <w:jc w:val="center"/>
            </w:pPr>
            <w:r>
              <w:rPr>
                <w:rFonts w:ascii="宋体" w:hAnsi="宋体" w:eastAsia="宋体"/>
                <w:sz w:val="16"/>
              </w:rPr>
              <w:t>-</w:t>
            </w:r>
          </w:p>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14:paraId="656D855A">
            <w:pPr>
              <w:jc w:val="center"/>
            </w:pPr>
            <w:r>
              <w:rPr>
                <w:rFonts w:ascii="宋体" w:hAnsi="宋体" w:eastAsia="宋体"/>
                <w:sz w:val="16"/>
              </w:rPr>
              <w:t>按照完成比例赋分</w:t>
            </w:r>
          </w:p>
        </w:tc>
        <w:tc>
          <w:tcPr>
            <w:tcW w:w="606" w:type="dxa"/>
            <w:tcBorders>
              <w:top w:val="single" w:color="auto" w:sz="10" w:space="0"/>
              <w:left w:val="single" w:color="auto" w:sz="10" w:space="0"/>
              <w:bottom w:val="single" w:color="auto" w:sz="10" w:space="0"/>
              <w:right w:val="single" w:color="auto" w:sz="10" w:space="0"/>
              <w:insideV w:val="single" w:sz="10" w:space="0"/>
            </w:tcBorders>
            <w:vAlign w:val="center"/>
          </w:tcPr>
          <w:p w14:paraId="29C55284">
            <w:pPr>
              <w:jc w:val="center"/>
            </w:pPr>
            <w:r>
              <w:rPr>
                <w:rFonts w:ascii="宋体" w:hAnsi="宋体" w:eastAsia="宋体"/>
                <w:sz w:val="16"/>
              </w:rPr>
              <w:t>工作资料,原始凭证</w:t>
            </w:r>
          </w:p>
        </w:tc>
        <w:tc>
          <w:tcPr>
            <w:tcW w:w="618" w:type="dxa"/>
            <w:tcBorders>
              <w:top w:val="single" w:color="auto" w:sz="10" w:space="0"/>
              <w:left w:val="single" w:color="auto" w:sz="10" w:space="0"/>
              <w:bottom w:val="single" w:color="auto" w:sz="10" w:space="0"/>
              <w:right w:val="single" w:color="auto" w:sz="10" w:space="0"/>
              <w:insideV w:val="single" w:sz="10" w:space="0"/>
            </w:tcBorders>
            <w:vAlign w:val="center"/>
          </w:tcPr>
          <w:p w14:paraId="09D97815">
            <w:pPr>
              <w:jc w:val="center"/>
            </w:pPr>
            <w:r>
              <w:rPr>
                <w:rFonts w:ascii="宋体" w:hAnsi="宋体" w:eastAsia="宋体"/>
                <w:sz w:val="16"/>
              </w:rPr>
              <w:t>该指标计划值设定根据上年度情况设定，因本年度均及时采购，导致有偏差。</w:t>
            </w:r>
          </w:p>
        </w:tc>
      </w:tr>
      <w:tr w14:paraId="5BBAFF6F">
        <w:tblPrEx>
          <w:tblCellMar>
            <w:top w:w="0" w:type="dxa"/>
            <w:left w:w="108" w:type="dxa"/>
            <w:bottom w:w="0" w:type="dxa"/>
            <w:right w:w="108" w:type="dxa"/>
          </w:tblCellMar>
        </w:tblPrEx>
        <w:tc>
          <w:tcPr>
            <w:tcW w:w="617" w:type="dxa"/>
            <w:vMerge w:val="continue"/>
            <w:tcBorders>
              <w:top w:val="single" w:color="auto" w:sz="10" w:space="0"/>
              <w:left w:val="single" w:color="auto" w:sz="10" w:space="0"/>
              <w:bottom w:val="single" w:color="auto" w:sz="10" w:space="0"/>
              <w:right w:val="single" w:color="auto" w:sz="10" w:space="0"/>
              <w:insideV w:val="single" w:sz="10" w:space="0"/>
            </w:tcBorders>
          </w:tcPr>
          <w:p w14:paraId="14329CAE"/>
        </w:tc>
        <w:tc>
          <w:tcPr>
            <w:tcW w:w="59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4CBC8C">
            <w:pPr>
              <w:jc w:val="center"/>
            </w:pPr>
            <w:r>
              <w:rPr>
                <w:rFonts w:ascii="宋体" w:hAnsi="宋体" w:eastAsia="宋体"/>
                <w:sz w:val="16"/>
              </w:rPr>
              <w:t>成本指标</w:t>
            </w:r>
          </w:p>
        </w:tc>
        <w:tc>
          <w:tcPr>
            <w:tcW w:w="59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1A5C04">
            <w:pPr>
              <w:jc w:val="center"/>
            </w:pPr>
            <w:r>
              <w:rPr>
                <w:rFonts w:ascii="宋体" w:hAnsi="宋体" w:eastAsia="宋体"/>
                <w:sz w:val="16"/>
              </w:rPr>
              <w:t>经济成本指标</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299B3A61">
            <w:pPr>
              <w:jc w:val="center"/>
            </w:pPr>
            <w:r>
              <w:rPr>
                <w:rFonts w:ascii="宋体" w:hAnsi="宋体" w:eastAsia="宋体"/>
                <w:sz w:val="16"/>
              </w:rPr>
              <w:t>办公费等资金</w:t>
            </w:r>
          </w:p>
        </w:tc>
        <w:tc>
          <w:tcPr>
            <w:tcW w:w="605" w:type="dxa"/>
            <w:tcBorders>
              <w:top w:val="single" w:color="auto" w:sz="10" w:space="0"/>
              <w:left w:val="single" w:color="auto" w:sz="10" w:space="0"/>
              <w:bottom w:val="single" w:color="auto" w:sz="10" w:space="0"/>
              <w:right w:val="single" w:color="auto" w:sz="10" w:space="0"/>
              <w:insideV w:val="single" w:sz="10" w:space="0"/>
            </w:tcBorders>
            <w:vAlign w:val="center"/>
          </w:tcPr>
          <w:p w14:paraId="48078A18">
            <w:pPr>
              <w:jc w:val="center"/>
            </w:pPr>
            <w:r>
              <w:rPr>
                <w:rFonts w:ascii="宋体" w:hAnsi="宋体" w:eastAsia="宋体"/>
                <w:sz w:val="16"/>
              </w:rPr>
              <w:t>7</w:t>
            </w:r>
          </w:p>
        </w:tc>
        <w:tc>
          <w:tcPr>
            <w:tcW w:w="856" w:type="dxa"/>
            <w:tcBorders>
              <w:top w:val="single" w:color="auto" w:sz="10" w:space="0"/>
              <w:left w:val="single" w:color="auto" w:sz="10" w:space="0"/>
              <w:bottom w:val="single" w:color="auto" w:sz="10" w:space="0"/>
              <w:right w:val="single" w:color="auto" w:sz="10" w:space="0"/>
              <w:insideV w:val="single" w:sz="10" w:space="0"/>
            </w:tcBorders>
            <w:vAlign w:val="center"/>
          </w:tcPr>
          <w:p w14:paraId="01E2DDCE">
            <w:pPr>
              <w:jc w:val="center"/>
            </w:pPr>
            <w:r>
              <w:rPr>
                <w:rFonts w:ascii="宋体" w:hAnsi="宋体" w:eastAsia="宋体"/>
                <w:sz w:val="16"/>
              </w:rPr>
              <w:t>&lt;=64.91万元</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3942B18E">
            <w:pPr>
              <w:jc w:val="center"/>
            </w:pPr>
            <w:r>
              <w:rPr>
                <w:rFonts w:ascii="宋体" w:hAnsi="宋体" w:eastAsia="宋体"/>
                <w:sz w:val="16"/>
              </w:rPr>
              <w:t>=61.17万元</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3538EF19">
            <w:pPr>
              <w:jc w:val="center"/>
            </w:pPr>
            <w:r>
              <w:rPr>
                <w:rFonts w:ascii="宋体" w:hAnsi="宋体" w:eastAsia="宋体"/>
                <w:sz w:val="16"/>
              </w:rPr>
              <w:t>100%</w:t>
            </w:r>
          </w:p>
        </w:tc>
        <w:tc>
          <w:tcPr>
            <w:tcW w:w="630" w:type="dxa"/>
            <w:tcBorders>
              <w:top w:val="single" w:color="auto" w:sz="10" w:space="0"/>
              <w:left w:val="single" w:color="auto" w:sz="10" w:space="0"/>
              <w:bottom w:val="single" w:color="auto" w:sz="10" w:space="0"/>
              <w:right w:val="single" w:color="auto" w:sz="10" w:space="0"/>
              <w:insideV w:val="single" w:sz="10" w:space="0"/>
            </w:tcBorders>
            <w:vAlign w:val="center"/>
          </w:tcPr>
          <w:p w14:paraId="35FE53E1">
            <w:pPr>
              <w:jc w:val="center"/>
            </w:pPr>
            <w:r>
              <w:rPr>
                <w:rFonts w:ascii="宋体" w:hAnsi="宋体" w:eastAsia="宋体"/>
                <w:sz w:val="16"/>
              </w:rPr>
              <w:t>7</w:t>
            </w:r>
          </w:p>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14:paraId="44A70D09">
            <w:pPr>
              <w:jc w:val="center"/>
            </w:pPr>
            <w:r>
              <w:rPr>
                <w:rFonts w:ascii="宋体" w:hAnsi="宋体" w:eastAsia="宋体"/>
                <w:sz w:val="16"/>
              </w:rPr>
              <w:t>预算支出标准</w:t>
            </w:r>
          </w:p>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14:paraId="10AD1423">
            <w:pPr>
              <w:jc w:val="center"/>
            </w:pPr>
            <w:r>
              <w:rPr>
                <w:rFonts w:ascii="宋体" w:hAnsi="宋体" w:eastAsia="宋体"/>
                <w:sz w:val="16"/>
              </w:rPr>
              <w:t>-</w:t>
            </w:r>
          </w:p>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14:paraId="0C6F2F98">
            <w:pPr>
              <w:jc w:val="center"/>
            </w:pPr>
            <w:r>
              <w:rPr>
                <w:rFonts w:ascii="宋体" w:hAnsi="宋体" w:eastAsia="宋体"/>
                <w:sz w:val="16"/>
              </w:rPr>
              <w:t>按照完成比例赋分</w:t>
            </w:r>
          </w:p>
        </w:tc>
        <w:tc>
          <w:tcPr>
            <w:tcW w:w="606" w:type="dxa"/>
            <w:tcBorders>
              <w:top w:val="single" w:color="auto" w:sz="10" w:space="0"/>
              <w:left w:val="single" w:color="auto" w:sz="10" w:space="0"/>
              <w:bottom w:val="single" w:color="auto" w:sz="10" w:space="0"/>
              <w:right w:val="single" w:color="auto" w:sz="10" w:space="0"/>
              <w:insideV w:val="single" w:sz="10" w:space="0"/>
            </w:tcBorders>
            <w:vAlign w:val="center"/>
          </w:tcPr>
          <w:p w14:paraId="55E243FD">
            <w:pPr>
              <w:jc w:val="center"/>
            </w:pPr>
            <w:r>
              <w:rPr>
                <w:rFonts w:ascii="宋体" w:hAnsi="宋体" w:eastAsia="宋体"/>
                <w:sz w:val="16"/>
              </w:rPr>
              <w:t>工作资料,原始凭证</w:t>
            </w:r>
          </w:p>
        </w:tc>
        <w:tc>
          <w:tcPr>
            <w:tcW w:w="618" w:type="dxa"/>
            <w:tcBorders>
              <w:top w:val="single" w:color="auto" w:sz="10" w:space="0"/>
              <w:left w:val="single" w:color="auto" w:sz="10" w:space="0"/>
              <w:bottom w:val="single" w:color="auto" w:sz="10" w:space="0"/>
              <w:right w:val="single" w:color="auto" w:sz="10" w:space="0"/>
              <w:insideV w:val="single" w:sz="10" w:space="0"/>
            </w:tcBorders>
            <w:vAlign w:val="center"/>
          </w:tcPr>
          <w:p w14:paraId="4AFF6CB1">
            <w:pPr>
              <w:jc w:val="center"/>
            </w:pPr>
          </w:p>
        </w:tc>
      </w:tr>
      <w:tr w14:paraId="2206C282">
        <w:tblPrEx>
          <w:tblCellMar>
            <w:top w:w="0" w:type="dxa"/>
            <w:left w:w="108" w:type="dxa"/>
            <w:bottom w:w="0" w:type="dxa"/>
            <w:right w:w="108" w:type="dxa"/>
          </w:tblCellMar>
        </w:tblPrEx>
        <w:tc>
          <w:tcPr>
            <w:tcW w:w="617" w:type="dxa"/>
            <w:vMerge w:val="continue"/>
            <w:tcBorders>
              <w:top w:val="single" w:color="auto" w:sz="10" w:space="0"/>
              <w:left w:val="single" w:color="auto" w:sz="10" w:space="0"/>
              <w:bottom w:val="single" w:color="auto" w:sz="10" w:space="0"/>
              <w:right w:val="single" w:color="auto" w:sz="10" w:space="0"/>
              <w:insideV w:val="single" w:sz="10" w:space="0"/>
            </w:tcBorders>
          </w:tcPr>
          <w:p w14:paraId="0A2F36A4"/>
        </w:tc>
        <w:tc>
          <w:tcPr>
            <w:tcW w:w="592" w:type="dxa"/>
            <w:vMerge w:val="continue"/>
            <w:tcBorders>
              <w:top w:val="single" w:color="auto" w:sz="10" w:space="0"/>
              <w:left w:val="single" w:color="auto" w:sz="10" w:space="0"/>
              <w:bottom w:val="single" w:color="auto" w:sz="10" w:space="0"/>
              <w:right w:val="single" w:color="auto" w:sz="10" w:space="0"/>
              <w:insideV w:val="single" w:sz="10" w:space="0"/>
            </w:tcBorders>
          </w:tcPr>
          <w:p w14:paraId="57238007"/>
        </w:tc>
        <w:tc>
          <w:tcPr>
            <w:tcW w:w="592" w:type="dxa"/>
            <w:vMerge w:val="continue"/>
            <w:tcBorders>
              <w:top w:val="single" w:color="auto" w:sz="10" w:space="0"/>
              <w:left w:val="single" w:color="auto" w:sz="10" w:space="0"/>
              <w:bottom w:val="single" w:color="auto" w:sz="10" w:space="0"/>
              <w:right w:val="single" w:color="auto" w:sz="10" w:space="0"/>
              <w:insideV w:val="single" w:sz="10" w:space="0"/>
            </w:tcBorders>
          </w:tcPr>
          <w:p w14:paraId="3DB03074"/>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188DE586">
            <w:pPr>
              <w:jc w:val="center"/>
            </w:pPr>
            <w:r>
              <w:rPr>
                <w:rFonts w:ascii="宋体" w:hAnsi="宋体" w:eastAsia="宋体"/>
                <w:sz w:val="16"/>
              </w:rPr>
              <w:t>维修设备购置资金</w:t>
            </w:r>
          </w:p>
        </w:tc>
        <w:tc>
          <w:tcPr>
            <w:tcW w:w="605" w:type="dxa"/>
            <w:tcBorders>
              <w:top w:val="single" w:color="auto" w:sz="10" w:space="0"/>
              <w:left w:val="single" w:color="auto" w:sz="10" w:space="0"/>
              <w:bottom w:val="single" w:color="auto" w:sz="10" w:space="0"/>
              <w:right w:val="single" w:color="auto" w:sz="10" w:space="0"/>
              <w:insideV w:val="single" w:sz="10" w:space="0"/>
            </w:tcBorders>
            <w:vAlign w:val="center"/>
          </w:tcPr>
          <w:p w14:paraId="03FEB4B5">
            <w:pPr>
              <w:jc w:val="center"/>
            </w:pPr>
            <w:r>
              <w:rPr>
                <w:rFonts w:ascii="宋体" w:hAnsi="宋体" w:eastAsia="宋体"/>
                <w:sz w:val="16"/>
              </w:rPr>
              <w:t>13</w:t>
            </w:r>
          </w:p>
        </w:tc>
        <w:tc>
          <w:tcPr>
            <w:tcW w:w="856" w:type="dxa"/>
            <w:tcBorders>
              <w:top w:val="single" w:color="auto" w:sz="10" w:space="0"/>
              <w:left w:val="single" w:color="auto" w:sz="10" w:space="0"/>
              <w:bottom w:val="single" w:color="auto" w:sz="10" w:space="0"/>
              <w:right w:val="single" w:color="auto" w:sz="10" w:space="0"/>
              <w:insideV w:val="single" w:sz="10" w:space="0"/>
            </w:tcBorders>
            <w:vAlign w:val="center"/>
          </w:tcPr>
          <w:p w14:paraId="10BC67CD">
            <w:pPr>
              <w:jc w:val="center"/>
            </w:pPr>
            <w:r>
              <w:rPr>
                <w:rFonts w:ascii="宋体" w:hAnsi="宋体" w:eastAsia="宋体"/>
                <w:sz w:val="16"/>
              </w:rPr>
              <w:t>&lt;=136.75万元</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6608275D">
            <w:pPr>
              <w:jc w:val="center"/>
            </w:pPr>
            <w:r>
              <w:rPr>
                <w:rFonts w:ascii="宋体" w:hAnsi="宋体" w:eastAsia="宋体"/>
                <w:sz w:val="16"/>
              </w:rPr>
              <w:t>=83.5万元</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7DD050EF">
            <w:pPr>
              <w:jc w:val="center"/>
            </w:pPr>
            <w:r>
              <w:rPr>
                <w:rFonts w:ascii="宋体" w:hAnsi="宋体" w:eastAsia="宋体"/>
                <w:sz w:val="16"/>
              </w:rPr>
              <w:t>100%</w:t>
            </w:r>
          </w:p>
        </w:tc>
        <w:tc>
          <w:tcPr>
            <w:tcW w:w="630" w:type="dxa"/>
            <w:tcBorders>
              <w:top w:val="single" w:color="auto" w:sz="10" w:space="0"/>
              <w:left w:val="single" w:color="auto" w:sz="10" w:space="0"/>
              <w:bottom w:val="single" w:color="auto" w:sz="10" w:space="0"/>
              <w:right w:val="single" w:color="auto" w:sz="10" w:space="0"/>
              <w:insideV w:val="single" w:sz="10" w:space="0"/>
            </w:tcBorders>
            <w:vAlign w:val="center"/>
          </w:tcPr>
          <w:p w14:paraId="0DF378A5">
            <w:pPr>
              <w:jc w:val="center"/>
            </w:pPr>
            <w:r>
              <w:rPr>
                <w:rFonts w:ascii="宋体" w:hAnsi="宋体" w:eastAsia="宋体"/>
                <w:sz w:val="16"/>
              </w:rPr>
              <w:t>13</w:t>
            </w:r>
          </w:p>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14:paraId="3F2E71FB">
            <w:pPr>
              <w:jc w:val="center"/>
            </w:pPr>
            <w:r>
              <w:rPr>
                <w:rFonts w:ascii="宋体" w:hAnsi="宋体" w:eastAsia="宋体"/>
                <w:sz w:val="16"/>
              </w:rPr>
              <w:t>预算支出标准</w:t>
            </w:r>
          </w:p>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14:paraId="316B23DC">
            <w:pPr>
              <w:jc w:val="center"/>
            </w:pPr>
            <w:r>
              <w:rPr>
                <w:rFonts w:ascii="宋体" w:hAnsi="宋体" w:eastAsia="宋体"/>
                <w:sz w:val="16"/>
              </w:rPr>
              <w:t>-</w:t>
            </w:r>
          </w:p>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14:paraId="6FB229DD">
            <w:pPr>
              <w:jc w:val="center"/>
            </w:pPr>
            <w:r>
              <w:rPr>
                <w:rFonts w:ascii="宋体" w:hAnsi="宋体" w:eastAsia="宋体"/>
                <w:sz w:val="16"/>
              </w:rPr>
              <w:t>按照完成比例赋分</w:t>
            </w:r>
          </w:p>
        </w:tc>
        <w:tc>
          <w:tcPr>
            <w:tcW w:w="606" w:type="dxa"/>
            <w:tcBorders>
              <w:top w:val="single" w:color="auto" w:sz="10" w:space="0"/>
              <w:left w:val="single" w:color="auto" w:sz="10" w:space="0"/>
              <w:bottom w:val="single" w:color="auto" w:sz="10" w:space="0"/>
              <w:right w:val="single" w:color="auto" w:sz="10" w:space="0"/>
              <w:insideV w:val="single" w:sz="10" w:space="0"/>
            </w:tcBorders>
            <w:vAlign w:val="center"/>
          </w:tcPr>
          <w:p w14:paraId="1D4DAF3E">
            <w:pPr>
              <w:jc w:val="center"/>
            </w:pPr>
            <w:r>
              <w:rPr>
                <w:rFonts w:ascii="宋体" w:hAnsi="宋体" w:eastAsia="宋体"/>
                <w:sz w:val="16"/>
              </w:rPr>
              <w:t>工作资料,原始凭证</w:t>
            </w:r>
          </w:p>
        </w:tc>
        <w:tc>
          <w:tcPr>
            <w:tcW w:w="618" w:type="dxa"/>
            <w:tcBorders>
              <w:top w:val="single" w:color="auto" w:sz="10" w:space="0"/>
              <w:left w:val="single" w:color="auto" w:sz="10" w:space="0"/>
              <w:bottom w:val="single" w:color="auto" w:sz="10" w:space="0"/>
              <w:right w:val="single" w:color="auto" w:sz="10" w:space="0"/>
              <w:insideV w:val="single" w:sz="10" w:space="0"/>
            </w:tcBorders>
            <w:vAlign w:val="center"/>
          </w:tcPr>
          <w:p w14:paraId="72AAAE48">
            <w:pPr>
              <w:jc w:val="center"/>
            </w:pPr>
          </w:p>
        </w:tc>
      </w:tr>
      <w:tr w14:paraId="68534294">
        <w:tblPrEx>
          <w:tblCellMar>
            <w:top w:w="0" w:type="dxa"/>
            <w:left w:w="108" w:type="dxa"/>
            <w:bottom w:w="0" w:type="dxa"/>
            <w:right w:w="108" w:type="dxa"/>
          </w:tblCellMar>
        </w:tblPrEx>
        <w:tc>
          <w:tcPr>
            <w:tcW w:w="617" w:type="dxa"/>
            <w:vMerge w:val="continue"/>
            <w:tcBorders>
              <w:top w:val="single" w:color="auto" w:sz="10" w:space="0"/>
              <w:left w:val="single" w:color="auto" w:sz="10" w:space="0"/>
              <w:bottom w:val="single" w:color="auto" w:sz="10" w:space="0"/>
              <w:right w:val="single" w:color="auto" w:sz="10" w:space="0"/>
              <w:insideV w:val="single" w:sz="10" w:space="0"/>
            </w:tcBorders>
          </w:tcPr>
          <w:p w14:paraId="4BCFD3CC"/>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14:paraId="1E6803BF">
            <w:pPr>
              <w:jc w:val="center"/>
            </w:pPr>
            <w:r>
              <w:rPr>
                <w:rFonts w:ascii="宋体" w:hAnsi="宋体" w:eastAsia="宋体"/>
                <w:sz w:val="16"/>
              </w:rPr>
              <w:t>效益指标</w:t>
            </w:r>
          </w:p>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14:paraId="017869A5">
            <w:pPr>
              <w:jc w:val="center"/>
            </w:pPr>
            <w:r>
              <w:rPr>
                <w:rFonts w:ascii="宋体" w:hAnsi="宋体" w:eastAsia="宋体"/>
                <w:sz w:val="16"/>
              </w:rPr>
              <w:t>社会效益指标</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28846CCE">
            <w:pPr>
              <w:jc w:val="center"/>
            </w:pPr>
            <w:r>
              <w:rPr>
                <w:rFonts w:ascii="宋体" w:hAnsi="宋体" w:eastAsia="宋体"/>
                <w:sz w:val="16"/>
              </w:rPr>
              <w:t>为人民群众提供有效的公共法律服务水平</w:t>
            </w:r>
          </w:p>
        </w:tc>
        <w:tc>
          <w:tcPr>
            <w:tcW w:w="605" w:type="dxa"/>
            <w:tcBorders>
              <w:top w:val="single" w:color="auto" w:sz="10" w:space="0"/>
              <w:left w:val="single" w:color="auto" w:sz="10" w:space="0"/>
              <w:bottom w:val="single" w:color="auto" w:sz="10" w:space="0"/>
              <w:right w:val="single" w:color="auto" w:sz="10" w:space="0"/>
              <w:insideV w:val="single" w:sz="10" w:space="0"/>
            </w:tcBorders>
            <w:vAlign w:val="center"/>
          </w:tcPr>
          <w:p w14:paraId="60E00190">
            <w:pPr>
              <w:jc w:val="center"/>
            </w:pPr>
            <w:r>
              <w:rPr>
                <w:rFonts w:ascii="宋体" w:hAnsi="宋体" w:eastAsia="宋体"/>
                <w:sz w:val="16"/>
              </w:rPr>
              <w:t>30</w:t>
            </w:r>
          </w:p>
        </w:tc>
        <w:tc>
          <w:tcPr>
            <w:tcW w:w="856" w:type="dxa"/>
            <w:tcBorders>
              <w:top w:val="single" w:color="auto" w:sz="10" w:space="0"/>
              <w:left w:val="single" w:color="auto" w:sz="10" w:space="0"/>
              <w:bottom w:val="single" w:color="auto" w:sz="10" w:space="0"/>
              <w:right w:val="single" w:color="auto" w:sz="10" w:space="0"/>
              <w:insideV w:val="single" w:sz="10" w:space="0"/>
            </w:tcBorders>
            <w:vAlign w:val="center"/>
          </w:tcPr>
          <w:p w14:paraId="54FD2F2B">
            <w:pPr>
              <w:jc w:val="center"/>
            </w:pPr>
            <w:r>
              <w:rPr>
                <w:rFonts w:ascii="宋体" w:hAnsi="宋体" w:eastAsia="宋体"/>
                <w:sz w:val="16"/>
              </w:rPr>
              <w:t>提升</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14:paraId="27677543">
            <w:pPr>
              <w:jc w:val="center"/>
            </w:pPr>
            <w:r>
              <w:rPr>
                <w:rFonts w:ascii="宋体" w:hAnsi="宋体" w:eastAsia="宋体"/>
                <w:sz w:val="16"/>
              </w:rPr>
              <w:t>达到预期指标</w:t>
            </w:r>
          </w:p>
        </w:tc>
        <w:tc>
          <w:tcPr>
            <w:tcW w:w="776" w:type="dxa"/>
            <w:tcBorders>
              <w:top w:val="single" w:color="auto" w:sz="10" w:space="0"/>
              <w:left w:val="single" w:color="auto" w:sz="10" w:space="0"/>
              <w:bottom w:val="single" w:color="auto" w:sz="10" w:space="0"/>
              <w:right w:val="single" w:color="auto" w:sz="10" w:space="0"/>
              <w:insideV w:val="single" w:sz="10" w:space="0"/>
            </w:tcBorders>
            <w:vAlign w:val="center"/>
          </w:tcPr>
          <w:p w14:paraId="779B07FE">
            <w:pPr>
              <w:jc w:val="center"/>
            </w:pPr>
            <w:r>
              <w:rPr>
                <w:rFonts w:ascii="宋体" w:hAnsi="宋体" w:eastAsia="宋体"/>
                <w:sz w:val="16"/>
              </w:rPr>
              <w:t>100%</w:t>
            </w:r>
          </w:p>
        </w:tc>
        <w:tc>
          <w:tcPr>
            <w:tcW w:w="630" w:type="dxa"/>
            <w:tcBorders>
              <w:top w:val="single" w:color="auto" w:sz="10" w:space="0"/>
              <w:left w:val="single" w:color="auto" w:sz="10" w:space="0"/>
              <w:bottom w:val="single" w:color="auto" w:sz="10" w:space="0"/>
              <w:right w:val="single" w:color="auto" w:sz="10" w:space="0"/>
              <w:insideV w:val="single" w:sz="10" w:space="0"/>
            </w:tcBorders>
            <w:vAlign w:val="center"/>
          </w:tcPr>
          <w:p w14:paraId="7400D7F2">
            <w:pPr>
              <w:jc w:val="center"/>
            </w:pPr>
            <w:r>
              <w:rPr>
                <w:rFonts w:ascii="宋体" w:hAnsi="宋体" w:eastAsia="宋体"/>
                <w:sz w:val="16"/>
              </w:rPr>
              <w:t>30</w:t>
            </w:r>
          </w:p>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14:paraId="424292BA">
            <w:pPr>
              <w:jc w:val="center"/>
            </w:pPr>
            <w:r>
              <w:rPr>
                <w:rFonts w:ascii="宋体" w:hAnsi="宋体" w:eastAsia="宋体"/>
                <w:sz w:val="16"/>
              </w:rPr>
              <w:t>计划标准</w:t>
            </w:r>
          </w:p>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14:paraId="0B3B8731">
            <w:pPr>
              <w:jc w:val="center"/>
            </w:pPr>
            <w:r>
              <w:rPr>
                <w:rFonts w:ascii="宋体" w:hAnsi="宋体" w:eastAsia="宋体"/>
                <w:sz w:val="16"/>
              </w:rPr>
              <w:t>-</w:t>
            </w:r>
          </w:p>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14:paraId="651758FE">
            <w:pPr>
              <w:jc w:val="center"/>
            </w:pPr>
            <w:r>
              <w:rPr>
                <w:rFonts w:ascii="宋体" w:hAnsi="宋体" w:eastAsia="宋体"/>
                <w:sz w:val="16"/>
              </w:rPr>
              <w:t>按评判等级赋分</w:t>
            </w:r>
          </w:p>
        </w:tc>
        <w:tc>
          <w:tcPr>
            <w:tcW w:w="606" w:type="dxa"/>
            <w:tcBorders>
              <w:top w:val="single" w:color="auto" w:sz="10" w:space="0"/>
              <w:left w:val="single" w:color="auto" w:sz="10" w:space="0"/>
              <w:bottom w:val="single" w:color="auto" w:sz="10" w:space="0"/>
              <w:right w:val="single" w:color="auto" w:sz="10" w:space="0"/>
              <w:insideV w:val="single" w:sz="10" w:space="0"/>
            </w:tcBorders>
            <w:vAlign w:val="center"/>
          </w:tcPr>
          <w:p w14:paraId="077B5A53">
            <w:pPr>
              <w:jc w:val="center"/>
            </w:pPr>
            <w:r>
              <w:rPr>
                <w:rFonts w:ascii="宋体" w:hAnsi="宋体" w:eastAsia="宋体"/>
                <w:sz w:val="16"/>
              </w:rPr>
              <w:t>工作资料</w:t>
            </w:r>
          </w:p>
        </w:tc>
        <w:tc>
          <w:tcPr>
            <w:tcW w:w="618" w:type="dxa"/>
            <w:tcBorders>
              <w:top w:val="single" w:color="auto" w:sz="10" w:space="0"/>
              <w:left w:val="single" w:color="auto" w:sz="10" w:space="0"/>
              <w:bottom w:val="single" w:color="auto" w:sz="10" w:space="0"/>
              <w:right w:val="single" w:color="auto" w:sz="10" w:space="0"/>
              <w:insideV w:val="single" w:sz="10" w:space="0"/>
            </w:tcBorders>
            <w:vAlign w:val="center"/>
          </w:tcPr>
          <w:p w14:paraId="6F18B90B">
            <w:pPr>
              <w:jc w:val="center"/>
            </w:pPr>
          </w:p>
        </w:tc>
      </w:tr>
      <w:tr w14:paraId="3FD6DEDE">
        <w:tblPrEx>
          <w:tblCellMar>
            <w:top w:w="0" w:type="dxa"/>
            <w:left w:w="108" w:type="dxa"/>
            <w:bottom w:w="0" w:type="dxa"/>
            <w:right w:w="108" w:type="dxa"/>
          </w:tblCellMar>
        </w:tblPrEx>
        <w:tc>
          <w:tcPr>
            <w:tcW w:w="2497"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3B6C85B">
            <w:pPr>
              <w:jc w:val="center"/>
            </w:pPr>
            <w:r>
              <w:rPr>
                <w:rFonts w:ascii="宋体" w:hAnsi="宋体" w:eastAsia="宋体"/>
                <w:sz w:val="16"/>
              </w:rPr>
              <w:t>总分</w:t>
            </w:r>
          </w:p>
        </w:tc>
        <w:tc>
          <w:tcPr>
            <w:tcW w:w="605" w:type="dxa"/>
            <w:tcBorders>
              <w:top w:val="single" w:color="auto" w:sz="10" w:space="0"/>
              <w:left w:val="single" w:color="auto" w:sz="10" w:space="0"/>
              <w:bottom w:val="single" w:color="auto" w:sz="10" w:space="0"/>
              <w:right w:val="single" w:color="auto" w:sz="10" w:space="0"/>
              <w:insideV w:val="single" w:sz="10" w:space="0"/>
            </w:tcBorders>
            <w:vAlign w:val="center"/>
          </w:tcPr>
          <w:p w14:paraId="033729F6">
            <w:pPr>
              <w:jc w:val="center"/>
            </w:pPr>
            <w:r>
              <w:rPr>
                <w:rFonts w:ascii="宋体" w:hAnsi="宋体" w:eastAsia="宋体"/>
                <w:sz w:val="16"/>
              </w:rPr>
              <w:t>100</w:t>
            </w:r>
          </w:p>
        </w:tc>
        <w:tc>
          <w:tcPr>
            <w:tcW w:w="856" w:type="dxa"/>
            <w:tcBorders>
              <w:top w:val="single" w:color="auto" w:sz="10" w:space="0"/>
              <w:left w:val="single" w:color="auto" w:sz="10" w:space="0"/>
              <w:bottom w:val="single" w:color="auto" w:sz="10" w:space="0"/>
              <w:right w:val="single" w:color="auto" w:sz="10" w:space="0"/>
              <w:insideV w:val="single" w:sz="10" w:space="0"/>
            </w:tcBorders>
          </w:tcPr>
          <w:p w14:paraId="1333F16E"/>
        </w:tc>
        <w:tc>
          <w:tcPr>
            <w:tcW w:w="696" w:type="dxa"/>
            <w:tcBorders>
              <w:top w:val="single" w:color="auto" w:sz="10" w:space="0"/>
              <w:left w:val="single" w:color="auto" w:sz="10" w:space="0"/>
              <w:bottom w:val="single" w:color="auto" w:sz="10" w:space="0"/>
              <w:right w:val="single" w:color="auto" w:sz="10" w:space="0"/>
              <w:insideV w:val="single" w:sz="10" w:space="0"/>
            </w:tcBorders>
          </w:tcPr>
          <w:p w14:paraId="1751F7B0"/>
        </w:tc>
        <w:tc>
          <w:tcPr>
            <w:tcW w:w="776" w:type="dxa"/>
            <w:tcBorders>
              <w:top w:val="single" w:color="auto" w:sz="10" w:space="0"/>
              <w:left w:val="single" w:color="auto" w:sz="10" w:space="0"/>
              <w:bottom w:val="single" w:color="auto" w:sz="10" w:space="0"/>
              <w:right w:val="single" w:color="auto" w:sz="10" w:space="0"/>
              <w:insideV w:val="single" w:sz="10" w:space="0"/>
            </w:tcBorders>
          </w:tcPr>
          <w:p w14:paraId="19E53D05"/>
        </w:tc>
        <w:tc>
          <w:tcPr>
            <w:tcW w:w="630" w:type="dxa"/>
            <w:tcBorders>
              <w:top w:val="single" w:color="auto" w:sz="10" w:space="0"/>
              <w:left w:val="single" w:color="auto" w:sz="10" w:space="0"/>
              <w:bottom w:val="single" w:color="auto" w:sz="10" w:space="0"/>
              <w:right w:val="single" w:color="auto" w:sz="10" w:space="0"/>
              <w:insideV w:val="single" w:sz="10" w:space="0"/>
            </w:tcBorders>
            <w:vAlign w:val="center"/>
          </w:tcPr>
          <w:p w14:paraId="75F6E0ED">
            <w:pPr>
              <w:jc w:val="center"/>
            </w:pPr>
            <w:r>
              <w:rPr>
                <w:rFonts w:ascii="宋体" w:hAnsi="宋体" w:eastAsia="宋体"/>
                <w:sz w:val="16"/>
              </w:rPr>
              <w:t>91.14分</w:t>
            </w:r>
          </w:p>
        </w:tc>
        <w:tc>
          <w:tcPr>
            <w:tcW w:w="592" w:type="dxa"/>
            <w:tcBorders>
              <w:top w:val="single" w:color="auto" w:sz="10" w:space="0"/>
              <w:left w:val="single" w:color="auto" w:sz="10" w:space="0"/>
              <w:bottom w:val="single" w:color="auto" w:sz="10" w:space="0"/>
              <w:right w:val="single" w:color="auto" w:sz="10" w:space="0"/>
              <w:insideV w:val="single" w:sz="10" w:space="0"/>
            </w:tcBorders>
          </w:tcPr>
          <w:p w14:paraId="6157E211"/>
        </w:tc>
        <w:tc>
          <w:tcPr>
            <w:tcW w:w="592" w:type="dxa"/>
            <w:tcBorders>
              <w:top w:val="single" w:color="auto" w:sz="10" w:space="0"/>
              <w:left w:val="single" w:color="auto" w:sz="10" w:space="0"/>
              <w:bottom w:val="single" w:color="auto" w:sz="10" w:space="0"/>
              <w:right w:val="single" w:color="auto" w:sz="10" w:space="0"/>
              <w:insideV w:val="single" w:sz="10" w:space="0"/>
            </w:tcBorders>
          </w:tcPr>
          <w:p w14:paraId="0F51AC5F"/>
        </w:tc>
        <w:tc>
          <w:tcPr>
            <w:tcW w:w="592" w:type="dxa"/>
            <w:tcBorders>
              <w:top w:val="single" w:color="auto" w:sz="10" w:space="0"/>
              <w:left w:val="single" w:color="auto" w:sz="10" w:space="0"/>
              <w:bottom w:val="single" w:color="auto" w:sz="10" w:space="0"/>
              <w:right w:val="single" w:color="auto" w:sz="10" w:space="0"/>
              <w:insideV w:val="single" w:sz="10" w:space="0"/>
            </w:tcBorders>
          </w:tcPr>
          <w:p w14:paraId="3E85D8E7"/>
        </w:tc>
        <w:tc>
          <w:tcPr>
            <w:tcW w:w="606" w:type="dxa"/>
            <w:tcBorders>
              <w:top w:val="single" w:color="auto" w:sz="10" w:space="0"/>
              <w:left w:val="single" w:color="auto" w:sz="10" w:space="0"/>
              <w:bottom w:val="single" w:color="auto" w:sz="10" w:space="0"/>
              <w:right w:val="single" w:color="auto" w:sz="10" w:space="0"/>
              <w:insideV w:val="single" w:sz="10" w:space="0"/>
            </w:tcBorders>
          </w:tcPr>
          <w:p w14:paraId="217AACC0"/>
        </w:tc>
        <w:tc>
          <w:tcPr>
            <w:tcW w:w="618" w:type="dxa"/>
            <w:tcBorders>
              <w:top w:val="single" w:color="auto" w:sz="10" w:space="0"/>
              <w:left w:val="single" w:color="auto" w:sz="10" w:space="0"/>
              <w:bottom w:val="single" w:color="auto" w:sz="10" w:space="0"/>
              <w:right w:val="single" w:color="auto" w:sz="10" w:space="0"/>
              <w:insideV w:val="single" w:sz="10" w:space="0"/>
            </w:tcBorders>
          </w:tcPr>
          <w:p w14:paraId="4481374C"/>
        </w:tc>
      </w:tr>
    </w:tbl>
    <w:p w14:paraId="34184452">
      <w:r>
        <w:br w:type="page"/>
      </w:r>
    </w:p>
    <w:p w14:paraId="039F680C">
      <w:pPr>
        <w:spacing w:line="640" w:lineRule="exact"/>
        <w:ind w:firstLine="640"/>
        <w:jc w:val="both"/>
        <w:outlineLvl w:val="2"/>
      </w:pPr>
      <w:r>
        <w:rPr>
          <w:rFonts w:ascii="黑体" w:hAnsi="黑体" w:eastAsia="黑体"/>
          <w:sz w:val="32"/>
        </w:rPr>
        <w:t>十二、其他需说明的事项</w:t>
      </w:r>
    </w:p>
    <w:p w14:paraId="34344A91">
      <w:pPr>
        <w:spacing w:line="580" w:lineRule="exact"/>
        <w:ind w:firstLine="640"/>
        <w:jc w:val="both"/>
      </w:pPr>
      <w:r>
        <w:rPr>
          <w:rFonts w:ascii="仿宋_GB2312" w:hAnsi="仿宋_GB2312" w:eastAsia="仿宋_GB2312"/>
          <w:b w:val="0"/>
          <w:sz w:val="32"/>
        </w:rPr>
        <w:t>本年本单位SM项目1个，全年预算数189.00万元，全年执行数188.75万元。</w:t>
      </w:r>
    </w:p>
    <w:p w14:paraId="48FC8C48">
      <w:r>
        <w:br w:type="page"/>
      </w:r>
    </w:p>
    <w:p w14:paraId="1A5AB279">
      <w:pPr>
        <w:spacing w:line="240" w:lineRule="auto"/>
        <w:jc w:val="center"/>
        <w:outlineLvl w:val="1"/>
      </w:pPr>
      <w:r>
        <w:rPr>
          <w:rFonts w:ascii="黑体" w:hAnsi="黑体" w:eastAsia="黑体"/>
          <w:sz w:val="32"/>
        </w:rPr>
        <w:t>第三部分 专业名词解释</w:t>
      </w:r>
    </w:p>
    <w:p w14:paraId="36A47A63">
      <w:pPr>
        <w:spacing w:line="240" w:lineRule="auto"/>
        <w:ind w:firstLine="640"/>
        <w:jc w:val="both"/>
      </w:pPr>
      <w:r>
        <w:rPr>
          <w:rFonts w:ascii="仿宋_GB2312" w:hAnsi="仿宋_GB2312" w:eastAsia="仿宋_GB2312"/>
          <w:b/>
          <w:sz w:val="32"/>
        </w:rPr>
        <w:t>一、财政拨款收入：</w:t>
      </w:r>
      <w:r>
        <w:rPr>
          <w:rFonts w:ascii="仿宋_GB2312" w:hAnsi="仿宋_GB2312" w:eastAsia="仿宋_GB2312"/>
          <w:b w:val="0"/>
          <w:sz w:val="32"/>
        </w:rPr>
        <w:t>指同级财政当年拨付的资金。</w:t>
      </w:r>
    </w:p>
    <w:p w14:paraId="244C1607">
      <w:pPr>
        <w:spacing w:line="240" w:lineRule="auto"/>
        <w:ind w:firstLine="640"/>
        <w:jc w:val="both"/>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155CD87A">
      <w:pPr>
        <w:spacing w:line="240" w:lineRule="auto"/>
        <w:ind w:firstLine="640"/>
        <w:jc w:val="both"/>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指事业单位开展专业业务活动及其辅助活动所取得的收入。</w:t>
      </w:r>
    </w:p>
    <w:p w14:paraId="470738A6">
      <w:pPr>
        <w:spacing w:line="240" w:lineRule="auto"/>
        <w:ind w:firstLine="640"/>
        <w:jc w:val="both"/>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56C96ECA">
      <w:pPr>
        <w:spacing w:line="240" w:lineRule="auto"/>
        <w:ind w:firstLine="640"/>
        <w:jc w:val="both"/>
      </w:pPr>
      <w:r>
        <w:rPr>
          <w:rFonts w:ascii="仿宋_GB2312" w:hAnsi="仿宋_GB2312" w:eastAsia="仿宋_GB2312"/>
          <w:b/>
          <w:sz w:val="32"/>
        </w:rPr>
        <w:t>五、附属单位上缴收入：</w:t>
      </w:r>
      <w:r>
        <w:rPr>
          <w:rFonts w:ascii="仿宋_GB2312" w:hAnsi="仿宋_GB2312" w:eastAsia="仿宋_GB2312"/>
          <w:b w:val="0"/>
          <w:sz w:val="32"/>
        </w:rPr>
        <w:t>指事业单位附属的独立核算单位按有关规定上缴的收入。</w:t>
      </w:r>
    </w:p>
    <w:p w14:paraId="2A9AE596">
      <w:pPr>
        <w:spacing w:line="240" w:lineRule="auto"/>
        <w:ind w:firstLine="640"/>
        <w:jc w:val="both"/>
      </w:pPr>
      <w:r>
        <w:rPr>
          <w:rFonts w:ascii="仿宋_GB2312" w:hAnsi="仿宋_GB2312" w:eastAsia="仿宋_GB2312"/>
          <w:b/>
          <w:sz w:val="32"/>
        </w:rPr>
        <w:t>六、其他收入：</w:t>
      </w:r>
      <w:r>
        <w:rPr>
          <w:rFonts w:ascii="仿宋_GB2312" w:hAnsi="仿宋_GB2312" w:eastAsia="仿宋_GB2312"/>
          <w:b w:val="0"/>
          <w:sz w:val="32"/>
        </w:rPr>
        <w:t>指除上述“财政拨款收入”、“事业收入”、“经营收入”、“附属单位上缴收入”等之外取得的收入。</w:t>
      </w:r>
    </w:p>
    <w:p w14:paraId="14844ECE">
      <w:pPr>
        <w:spacing w:line="240" w:lineRule="auto"/>
        <w:ind w:firstLine="640"/>
        <w:jc w:val="both"/>
      </w:pPr>
      <w:r>
        <w:rPr>
          <w:rFonts w:ascii="仿宋_GB2312" w:hAnsi="仿宋_GB2312" w:eastAsia="仿宋_GB2312"/>
          <w:b/>
          <w:sz w:val="32"/>
        </w:rPr>
        <w:t>七、年初结转和结余：</w:t>
      </w:r>
      <w:r>
        <w:rPr>
          <w:rFonts w:ascii="仿宋_GB2312" w:hAnsi="仿宋_GB2312" w:eastAsia="仿宋_GB2312"/>
          <w:b w:val="0"/>
          <w:sz w:val="32"/>
        </w:rPr>
        <w:t>指以前年度支出预算因客观条件变化未执行完毕、结转到本年度按有关规定继续使用的资金，既包括财政拨款结转和结余，也包括事业收入、经营收入、其他收入的结转和结余。</w:t>
      </w:r>
    </w:p>
    <w:p w14:paraId="0907C044">
      <w:pPr>
        <w:spacing w:line="240" w:lineRule="auto"/>
        <w:ind w:firstLine="640"/>
        <w:jc w:val="both"/>
      </w:pPr>
      <w:r>
        <w:rPr>
          <w:rFonts w:ascii="仿宋_GB2312" w:hAnsi="仿宋_GB2312" w:eastAsia="仿宋_GB2312"/>
          <w:b/>
          <w:sz w:val="32"/>
        </w:rPr>
        <w:t>八、年末结转和结余：</w:t>
      </w:r>
      <w:r>
        <w:rPr>
          <w:rFonts w:ascii="仿宋_GB2312" w:hAnsi="仿宋_GB2312" w:eastAsia="仿宋_GB2312"/>
          <w:b w:val="0"/>
          <w:sz w:val="32"/>
        </w:rPr>
        <w:t>指本年度或以前年度预算安排、因客观条件发生变化无法按原计划实施，需要延迟到以后年度按有关规定继续使用的资金，既包括财政拨款结转和结余，也包括事业收入、经营收入、其他收入的结转和结余。</w:t>
      </w:r>
    </w:p>
    <w:p w14:paraId="741F8C34">
      <w:pPr>
        <w:spacing w:line="240" w:lineRule="auto"/>
        <w:ind w:firstLine="640"/>
        <w:jc w:val="both"/>
      </w:pPr>
      <w:r>
        <w:rPr>
          <w:rFonts w:ascii="仿宋_GB2312" w:hAnsi="仿宋_GB2312" w:eastAsia="仿宋_GB2312"/>
          <w:b/>
          <w:sz w:val="32"/>
        </w:rPr>
        <w:t>九、基本支出：</w:t>
      </w:r>
      <w:r>
        <w:rPr>
          <w:rFonts w:ascii="仿宋_GB2312" w:hAnsi="仿宋_GB2312" w:eastAsia="仿宋_GB2312"/>
          <w:b w:val="0"/>
          <w:sz w:val="32"/>
        </w:rPr>
        <w:t>指为保障机构正常运转、完成日常工作任务而发生的人员支出和公用支出。</w:t>
      </w:r>
    </w:p>
    <w:p w14:paraId="5D0AC069">
      <w:pPr>
        <w:spacing w:line="240" w:lineRule="auto"/>
        <w:ind w:firstLine="640"/>
        <w:jc w:val="both"/>
      </w:pPr>
      <w:r>
        <w:rPr>
          <w:rFonts w:ascii="仿宋_GB2312" w:hAnsi="仿宋_GB2312" w:eastAsia="仿宋_GB2312"/>
          <w:b/>
          <w:sz w:val="32"/>
        </w:rPr>
        <w:t>十、项目支出：</w:t>
      </w:r>
      <w:r>
        <w:rPr>
          <w:rFonts w:ascii="仿宋_GB2312" w:hAnsi="仿宋_GB2312" w:eastAsia="仿宋_GB2312"/>
          <w:b w:val="0"/>
          <w:sz w:val="32"/>
        </w:rPr>
        <w:t>指在基本支出之外为完成特定行政任务和事业发展目标所发生的支出。</w:t>
      </w:r>
    </w:p>
    <w:p w14:paraId="75E10214">
      <w:pPr>
        <w:spacing w:line="240" w:lineRule="auto"/>
        <w:ind w:firstLine="640"/>
        <w:jc w:val="both"/>
      </w:pPr>
      <w:r>
        <w:rPr>
          <w:rFonts w:ascii="仿宋_GB2312" w:hAnsi="仿宋_GB2312" w:eastAsia="仿宋_GB2312"/>
          <w:b/>
          <w:sz w:val="32"/>
        </w:rPr>
        <w:t>十一、经营支出：</w:t>
      </w:r>
      <w:r>
        <w:rPr>
          <w:rFonts w:ascii="仿宋_GB2312" w:hAnsi="仿宋_GB2312" w:eastAsia="仿宋_GB2312"/>
          <w:b w:val="0"/>
          <w:sz w:val="32"/>
        </w:rPr>
        <w:t>指事业单位在专业业务活动及其辅助活动之外开展非独立核算经营活动发生的支出。</w:t>
      </w:r>
    </w:p>
    <w:p w14:paraId="1F723496">
      <w:pPr>
        <w:spacing w:line="240" w:lineRule="auto"/>
        <w:ind w:firstLine="640"/>
        <w:jc w:val="both"/>
      </w:pPr>
      <w:r>
        <w:rPr>
          <w:rFonts w:ascii="仿宋_GB2312" w:hAnsi="仿宋_GB2312" w:eastAsia="仿宋_GB2312"/>
          <w:b/>
          <w:sz w:val="32"/>
        </w:rPr>
        <w:t>十二、对附属单位补助支出：</w:t>
      </w:r>
      <w:r>
        <w:rPr>
          <w:rFonts w:ascii="仿宋_GB2312" w:hAnsi="仿宋_GB2312" w:eastAsia="仿宋_GB2312"/>
          <w:b w:val="0"/>
          <w:sz w:val="32"/>
        </w:rPr>
        <w:t>指事业单位发生的用非财政预算资金对附属单位的补助支出。</w:t>
      </w:r>
    </w:p>
    <w:p w14:paraId="0A90F358">
      <w:pPr>
        <w:spacing w:line="240" w:lineRule="auto"/>
        <w:ind w:firstLine="640"/>
        <w:jc w:val="both"/>
      </w:pPr>
      <w:r>
        <w:rPr>
          <w:rFonts w:ascii="仿宋_GB2312" w:hAnsi="仿宋_GB2312" w:eastAsia="仿宋_GB2312"/>
          <w:b/>
          <w:sz w:val="32"/>
        </w:rPr>
        <w:t>十三、“三公”经费：</w:t>
      </w:r>
      <w:r>
        <w:rPr>
          <w:rFonts w:ascii="仿宋_GB2312" w:hAnsi="仿宋_GB2312" w:eastAsia="仿宋_GB2312"/>
          <w:b w:val="0"/>
          <w:sz w:val="32"/>
        </w:rPr>
        <w:t>指用财政拨款安排的因公出国（境）费、公务用车购置及运行费和公务接待费。其中，因公出国（境）费反映单位公务出国（境）的国际旅费、国外城市间交通费、住宿费、伙食费、培训费、公杂费等支出；公务用车购置反映公务用车购置支出（含车辆购置税、牌照费）；公务用车运行维护费反映单位按规定保留的公务用车燃料费、维修费、过路过桥费、保险费、安全奖励费用等支出；公务接待费反映单位按规定开支的各类公务接待（含外宾接待）费用。</w:t>
      </w:r>
    </w:p>
    <w:p w14:paraId="77AD2244">
      <w:pPr>
        <w:spacing w:line="240" w:lineRule="auto"/>
        <w:ind w:firstLine="640"/>
        <w:jc w:val="both"/>
      </w:pPr>
      <w:r>
        <w:rPr>
          <w:rFonts w:ascii="仿宋_GB2312" w:hAnsi="仿宋_GB2312" w:eastAsia="仿宋_GB2312"/>
          <w:b/>
          <w:sz w:val="32"/>
        </w:rPr>
        <w:t>十四、机关运行经费：</w:t>
      </w:r>
      <w:r>
        <w:rPr>
          <w:rFonts w:ascii="仿宋_GB2312" w:hAnsi="仿宋_GB2312" w:eastAsia="仿宋_GB2312"/>
          <w:b w:val="0"/>
          <w:sz w:val="32"/>
        </w:rPr>
        <w:t>行政单位和参照公务员法管理的事业单位财政拨款基本支出中的公用经费支出。</w:t>
      </w:r>
    </w:p>
    <w:p w14:paraId="188B9734">
      <w:r>
        <w:br w:type="page"/>
      </w:r>
    </w:p>
    <w:p w14:paraId="3D0F4CB5">
      <w:pPr>
        <w:spacing w:line="240" w:lineRule="auto"/>
        <w:jc w:val="center"/>
        <w:outlineLvl w:val="1"/>
      </w:pPr>
      <w:r>
        <w:rPr>
          <w:rFonts w:ascii="黑体" w:hAnsi="黑体" w:eastAsia="黑体"/>
          <w:sz w:val="32"/>
        </w:rPr>
        <w:t>第四部分 部门决算报表（见附表）</w:t>
      </w:r>
    </w:p>
    <w:p w14:paraId="136C499C">
      <w:pPr>
        <w:spacing w:line="240" w:lineRule="auto"/>
        <w:ind w:firstLine="640"/>
        <w:jc w:val="both"/>
      </w:pPr>
      <w:r>
        <w:rPr>
          <w:rFonts w:ascii="仿宋_GB2312" w:hAnsi="仿宋_GB2312" w:eastAsia="仿宋_GB2312"/>
          <w:b w:val="0"/>
          <w:sz w:val="32"/>
        </w:rPr>
        <w:t>一、《收入支出决算总表》</w:t>
      </w:r>
    </w:p>
    <w:p w14:paraId="4FE1A5DC">
      <w:pPr>
        <w:spacing w:line="240" w:lineRule="auto"/>
        <w:ind w:firstLine="640"/>
        <w:jc w:val="both"/>
      </w:pPr>
      <w:r>
        <w:rPr>
          <w:rFonts w:ascii="仿宋_GB2312" w:hAnsi="仿宋_GB2312" w:eastAsia="仿宋_GB2312"/>
          <w:b w:val="0"/>
          <w:sz w:val="32"/>
        </w:rPr>
        <w:t>二、《收入决算表》</w:t>
      </w:r>
    </w:p>
    <w:p w14:paraId="715FA921">
      <w:pPr>
        <w:spacing w:line="240" w:lineRule="auto"/>
        <w:ind w:firstLine="640"/>
        <w:jc w:val="both"/>
      </w:pPr>
      <w:r>
        <w:rPr>
          <w:rFonts w:ascii="仿宋_GB2312" w:hAnsi="仿宋_GB2312" w:eastAsia="仿宋_GB2312"/>
          <w:b w:val="0"/>
          <w:sz w:val="32"/>
        </w:rPr>
        <w:t>三、《支出决算表》</w:t>
      </w:r>
    </w:p>
    <w:p w14:paraId="16886D5D">
      <w:pPr>
        <w:spacing w:line="240" w:lineRule="auto"/>
        <w:ind w:firstLine="640"/>
        <w:jc w:val="both"/>
      </w:pPr>
      <w:r>
        <w:rPr>
          <w:rFonts w:ascii="仿宋_GB2312" w:hAnsi="仿宋_GB2312" w:eastAsia="仿宋_GB2312"/>
          <w:b w:val="0"/>
          <w:sz w:val="32"/>
        </w:rPr>
        <w:t>四、《财政拨款收入支出决算总表》</w:t>
      </w:r>
    </w:p>
    <w:p w14:paraId="3E2B3E62">
      <w:pPr>
        <w:spacing w:line="240" w:lineRule="auto"/>
        <w:ind w:firstLine="640"/>
        <w:jc w:val="both"/>
      </w:pPr>
      <w:r>
        <w:rPr>
          <w:rFonts w:ascii="仿宋_GB2312" w:hAnsi="仿宋_GB2312" w:eastAsia="仿宋_GB2312"/>
          <w:b w:val="0"/>
          <w:sz w:val="32"/>
        </w:rPr>
        <w:t>五、《一般公共预算财政拨款支出决算表》</w:t>
      </w:r>
    </w:p>
    <w:p w14:paraId="0AFBEA7B">
      <w:pPr>
        <w:spacing w:line="240" w:lineRule="auto"/>
        <w:ind w:firstLine="640"/>
        <w:jc w:val="both"/>
      </w:pPr>
      <w:r>
        <w:rPr>
          <w:rFonts w:ascii="仿宋_GB2312" w:hAnsi="仿宋_GB2312" w:eastAsia="仿宋_GB2312"/>
          <w:b w:val="0"/>
          <w:sz w:val="32"/>
        </w:rPr>
        <w:t>六、《一般公共预算财政拨款基本支出决算表》</w:t>
      </w:r>
    </w:p>
    <w:p w14:paraId="715D8BDE">
      <w:pPr>
        <w:spacing w:line="240" w:lineRule="auto"/>
        <w:ind w:firstLine="640"/>
        <w:jc w:val="both"/>
      </w:pPr>
      <w:r>
        <w:rPr>
          <w:rFonts w:ascii="仿宋_GB2312" w:hAnsi="仿宋_GB2312" w:eastAsia="仿宋_GB2312"/>
          <w:b w:val="0"/>
          <w:sz w:val="32"/>
        </w:rPr>
        <w:t>七、《政府性基金预算财政拨款收入支出决算表》</w:t>
      </w:r>
    </w:p>
    <w:p w14:paraId="5C4A4E7C">
      <w:pPr>
        <w:spacing w:line="240" w:lineRule="auto"/>
        <w:ind w:firstLine="640"/>
        <w:jc w:val="both"/>
      </w:pPr>
      <w:r>
        <w:rPr>
          <w:rFonts w:ascii="仿宋_GB2312" w:hAnsi="仿宋_GB2312" w:eastAsia="仿宋_GB2312"/>
          <w:b w:val="0"/>
          <w:sz w:val="32"/>
        </w:rPr>
        <w:t>八、《国有资本经营预算财政拨款收入支出决算表》</w:t>
      </w:r>
    </w:p>
    <w:p w14:paraId="15390645">
      <w:pPr>
        <w:spacing w:line="240" w:lineRule="auto"/>
        <w:ind w:firstLine="640"/>
        <w:jc w:val="both"/>
      </w:pPr>
      <w:r>
        <w:rPr>
          <w:rFonts w:ascii="仿宋_GB2312" w:hAnsi="仿宋_GB2312" w:eastAsia="仿宋_GB2312"/>
          <w:b w:val="0"/>
          <w:sz w:val="32"/>
        </w:rPr>
        <w:t>九、《财政拨款“三公”经费支出决算表》</w:t>
      </w:r>
    </w:p>
    <w:p w14:paraId="141FB355">
      <w:pPr>
        <w:spacing w:line="240" w:lineRule="auto"/>
        <w:ind w:firstLine="640"/>
        <w:jc w:val="both"/>
      </w:pPr>
    </w:p>
    <w:p w14:paraId="71C9C5F5">
      <w:pPr>
        <w:spacing w:line="240" w:lineRule="auto"/>
        <w:ind w:firstLine="640"/>
        <w:jc w:val="both"/>
      </w:pPr>
    </w:p>
    <w:p w14:paraId="55BE0698">
      <w:pPr>
        <w:spacing w:line="240" w:lineRule="auto"/>
        <w:ind w:firstLine="640"/>
        <w:jc w:val="both"/>
      </w:pPr>
    </w:p>
    <w:p w14:paraId="3BF38F17">
      <w:pPr>
        <w:spacing w:line="240" w:lineRule="auto"/>
        <w:ind w:firstLine="640"/>
        <w:jc w:val="both"/>
      </w:pPr>
    </w:p>
    <w:p w14:paraId="73ED2D88">
      <w:pPr>
        <w:spacing w:line="240" w:lineRule="auto"/>
        <w:ind w:firstLine="640"/>
        <w:jc w:val="both"/>
      </w:pPr>
    </w:p>
    <w:sectPr>
      <w:footerReference r:id="rId3" w:type="default"/>
      <w:pgSz w:w="11906" w:h="16838"/>
      <w:pgMar w:top="2098" w:right="1531" w:bottom="1984"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9544348-A080-4129-9301-6B73F81CA66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E2658690-0978-4205-A06C-5AF68AB42C19}"/>
  </w:font>
  <w:font w:name="仿宋_GB2312">
    <w:altName w:val="仿宋"/>
    <w:panose1 w:val="02010609030101010101"/>
    <w:charset w:val="86"/>
    <w:family w:val="modern"/>
    <w:pitch w:val="default"/>
    <w:sig w:usb0="00000000" w:usb1="00000000" w:usb2="00000000" w:usb3="00000000" w:csb0="00040000" w:csb1="00000000"/>
    <w:embedRegular r:id="rId3" w:fontKey="{13B45975-B7C5-45D6-877D-4E9C8BDCC53B}"/>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embedRegular r:id="rId4" w:fontKey="{B72C54C6-3416-46E4-AA45-8435975E40BA}"/>
  </w:font>
  <w:font w:name="楷体">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CF23B">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895DB72">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6895DB72">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wYmRmZTlkODBlYWI2MWEzOGMyNWRlOTFmY2QzMTQifQ=="/>
  </w:docVars>
  <w:rsids>
    <w:rsidRoot w:val="00000000"/>
    <w:rsid w:val="021B7195"/>
    <w:rsid w:val="02F73D26"/>
    <w:rsid w:val="034D4FEF"/>
    <w:rsid w:val="043E5B56"/>
    <w:rsid w:val="06792773"/>
    <w:rsid w:val="09A729D8"/>
    <w:rsid w:val="0A3C58E8"/>
    <w:rsid w:val="0A7B4867"/>
    <w:rsid w:val="0B8C3ECC"/>
    <w:rsid w:val="0C3613A3"/>
    <w:rsid w:val="0C7227A7"/>
    <w:rsid w:val="0DCA6EF7"/>
    <w:rsid w:val="0E4B1576"/>
    <w:rsid w:val="0EA04331"/>
    <w:rsid w:val="0F9811B3"/>
    <w:rsid w:val="0FAA2FE7"/>
    <w:rsid w:val="11E15093"/>
    <w:rsid w:val="120E0809"/>
    <w:rsid w:val="18AD2832"/>
    <w:rsid w:val="19071D6C"/>
    <w:rsid w:val="19B5554D"/>
    <w:rsid w:val="1B8F2D19"/>
    <w:rsid w:val="1C317E4F"/>
    <w:rsid w:val="1C472464"/>
    <w:rsid w:val="1DAF458D"/>
    <w:rsid w:val="1E086ACE"/>
    <w:rsid w:val="1E4B5CA5"/>
    <w:rsid w:val="1EAA4A5F"/>
    <w:rsid w:val="1F587A0B"/>
    <w:rsid w:val="2064678E"/>
    <w:rsid w:val="20BC0B75"/>
    <w:rsid w:val="20DD6197"/>
    <w:rsid w:val="21F317F2"/>
    <w:rsid w:val="2241392C"/>
    <w:rsid w:val="23BC04D2"/>
    <w:rsid w:val="25275618"/>
    <w:rsid w:val="27CE017C"/>
    <w:rsid w:val="27CF2642"/>
    <w:rsid w:val="282459E2"/>
    <w:rsid w:val="29116777"/>
    <w:rsid w:val="2A053397"/>
    <w:rsid w:val="2A444FB1"/>
    <w:rsid w:val="2A6064E2"/>
    <w:rsid w:val="2C1965E9"/>
    <w:rsid w:val="2D1136DF"/>
    <w:rsid w:val="2DAE0E44"/>
    <w:rsid w:val="2FD27414"/>
    <w:rsid w:val="313F1D52"/>
    <w:rsid w:val="318029AB"/>
    <w:rsid w:val="31C63837"/>
    <w:rsid w:val="326F0A17"/>
    <w:rsid w:val="3277581B"/>
    <w:rsid w:val="38006E2C"/>
    <w:rsid w:val="3914510A"/>
    <w:rsid w:val="3B1220C9"/>
    <w:rsid w:val="3D5275AC"/>
    <w:rsid w:val="3EA7725F"/>
    <w:rsid w:val="3EC014A1"/>
    <w:rsid w:val="40834692"/>
    <w:rsid w:val="423A32B2"/>
    <w:rsid w:val="423C0CB4"/>
    <w:rsid w:val="427B5743"/>
    <w:rsid w:val="42E64542"/>
    <w:rsid w:val="464B7E04"/>
    <w:rsid w:val="464F7E64"/>
    <w:rsid w:val="46901EEE"/>
    <w:rsid w:val="469C74D2"/>
    <w:rsid w:val="47445515"/>
    <w:rsid w:val="4B4C0111"/>
    <w:rsid w:val="4BB23021"/>
    <w:rsid w:val="4E673573"/>
    <w:rsid w:val="4F3F074E"/>
    <w:rsid w:val="50DB5F45"/>
    <w:rsid w:val="52F92565"/>
    <w:rsid w:val="543D17CB"/>
    <w:rsid w:val="55DA564E"/>
    <w:rsid w:val="56E07045"/>
    <w:rsid w:val="583059FA"/>
    <w:rsid w:val="587E6212"/>
    <w:rsid w:val="5AFC6609"/>
    <w:rsid w:val="5FA17648"/>
    <w:rsid w:val="5FD320BD"/>
    <w:rsid w:val="60DE4D57"/>
    <w:rsid w:val="613409CB"/>
    <w:rsid w:val="61A46A97"/>
    <w:rsid w:val="62DD7D21"/>
    <w:rsid w:val="62EE2484"/>
    <w:rsid w:val="65D97752"/>
    <w:rsid w:val="664C500C"/>
    <w:rsid w:val="67D111AB"/>
    <w:rsid w:val="68DB0208"/>
    <w:rsid w:val="68DF36D5"/>
    <w:rsid w:val="69846A0E"/>
    <w:rsid w:val="69AD798C"/>
    <w:rsid w:val="6B68175F"/>
    <w:rsid w:val="6B8B5C99"/>
    <w:rsid w:val="6CA7198F"/>
    <w:rsid w:val="6D8919A8"/>
    <w:rsid w:val="6E0F7A08"/>
    <w:rsid w:val="6E801ABC"/>
    <w:rsid w:val="71473612"/>
    <w:rsid w:val="718F7F65"/>
    <w:rsid w:val="73423603"/>
    <w:rsid w:val="737A5923"/>
    <w:rsid w:val="73DE4104"/>
    <w:rsid w:val="73FB6630"/>
    <w:rsid w:val="74CE04EC"/>
    <w:rsid w:val="74E76DCD"/>
    <w:rsid w:val="76660D7C"/>
    <w:rsid w:val="77ED6F44"/>
    <w:rsid w:val="795A0A34"/>
    <w:rsid w:val="7A0D3BC7"/>
    <w:rsid w:val="7A3A3CD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customStyle="1" w:styleId="11">
    <w:name w:val="WPSOffice手动目录 3"/>
    <w:qFormat/>
    <w:uiPriority w:val="0"/>
    <w:pPr>
      <w:ind w:leftChars="400"/>
    </w:pPr>
    <w:rPr>
      <w:rFonts w:ascii="Times New Roman" w:hAnsi="Times New Roman" w:eastAsia="宋体" w:cs="Times New Roman"/>
      <w:sz w:val="20"/>
      <w:szCs w:val="20"/>
    </w:rPr>
  </w:style>
  <w:style w:type="paragraph" w:customStyle="1" w:styleId="12">
    <w:name w:val="WPSOffice手动目录 2"/>
    <w:qFormat/>
    <w:uiPriority w:val="0"/>
    <w:pPr>
      <w:ind w:leftChars="200"/>
    </w:pPr>
    <w:rPr>
      <w:rFonts w:ascii="Times New Roman" w:hAnsi="Times New Roman" w:eastAsia="宋体" w:cs="Times New Roman"/>
      <w:sz w:val="20"/>
      <w:szCs w:val="20"/>
    </w:rPr>
  </w:style>
  <w:style w:type="paragraph" w:customStyle="1" w:styleId="13">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6946</Words>
  <Characters>7889</Characters>
  <Lines>0</Lines>
  <Paragraphs>0</Paragraphs>
  <TotalTime>9</TotalTime>
  <ScaleCrop>false</ScaleCrop>
  <LinksUpToDate>false</LinksUpToDate>
  <CharactersWithSpaces>7897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GXR</dc:creator>
  <cp:lastModifiedBy>小麦啾</cp:lastModifiedBy>
  <cp:lastPrinted>2024-07-22T11:58:00Z</cp:lastPrinted>
  <dcterms:modified xsi:type="dcterms:W3CDTF">2026-08-24T09:27:52Z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B858A68E913346F885B5BC17D4DBEB06_13</vt:lpwstr>
  </property>
  <property fmtid="{D5CDD505-2E9C-101B-9397-08002B2CF9AE}" pid="4" name="KSOTemplateDocerSaveRecord">
    <vt:lpwstr>eyJoZGlkIjoiZGZmMjg3MDQ2MzExNDk0OWY5M2UwNzBmOWViMDBkMGMiLCJ1c2VySWQiOiIzMjQ5NjUzODcifQ==</vt:lpwstr>
  </property>
</Properties>
</file>