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6A932E">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14:paraId="66AB3D8D">
      <w:pPr>
        <w:spacing w:line="540" w:lineRule="exact"/>
        <w:jc w:val="center"/>
        <w:rPr>
          <w:rFonts w:ascii="华文中宋" w:hAnsi="华文中宋" w:eastAsia="华文中宋" w:cs="宋体"/>
          <w:b/>
          <w:kern w:val="0"/>
          <w:sz w:val="52"/>
          <w:szCs w:val="52"/>
        </w:rPr>
      </w:pPr>
    </w:p>
    <w:p w14:paraId="08C80FE4">
      <w:pPr>
        <w:spacing w:line="540" w:lineRule="exact"/>
        <w:jc w:val="center"/>
        <w:rPr>
          <w:rFonts w:ascii="华文中宋" w:hAnsi="华文中宋" w:eastAsia="华文中宋" w:cs="宋体"/>
          <w:b/>
          <w:kern w:val="0"/>
          <w:sz w:val="52"/>
          <w:szCs w:val="52"/>
        </w:rPr>
      </w:pPr>
    </w:p>
    <w:p w14:paraId="514AD96F">
      <w:pPr>
        <w:spacing w:line="540" w:lineRule="exact"/>
        <w:jc w:val="center"/>
        <w:rPr>
          <w:rFonts w:ascii="华文中宋" w:hAnsi="华文中宋" w:eastAsia="华文中宋" w:cs="宋体"/>
          <w:b/>
          <w:kern w:val="0"/>
          <w:sz w:val="52"/>
          <w:szCs w:val="52"/>
        </w:rPr>
      </w:pPr>
    </w:p>
    <w:p w14:paraId="30EF275C">
      <w:pPr>
        <w:spacing w:line="540" w:lineRule="exact"/>
        <w:jc w:val="center"/>
        <w:rPr>
          <w:rFonts w:ascii="华文中宋" w:hAnsi="华文中宋" w:eastAsia="华文中宋" w:cs="宋体"/>
          <w:b/>
          <w:kern w:val="0"/>
          <w:sz w:val="52"/>
          <w:szCs w:val="52"/>
        </w:rPr>
      </w:pPr>
    </w:p>
    <w:p w14:paraId="2D8F7A88">
      <w:pPr>
        <w:spacing w:line="540" w:lineRule="exact"/>
        <w:jc w:val="center"/>
        <w:rPr>
          <w:rFonts w:ascii="华文中宋" w:hAnsi="华文中宋" w:eastAsia="华文中宋" w:cs="宋体"/>
          <w:b/>
          <w:kern w:val="0"/>
          <w:sz w:val="52"/>
          <w:szCs w:val="52"/>
        </w:rPr>
      </w:pPr>
    </w:p>
    <w:p w14:paraId="5212F8C3">
      <w:pPr>
        <w:spacing w:line="540" w:lineRule="exact"/>
        <w:jc w:val="center"/>
        <w:rPr>
          <w:rFonts w:ascii="华文中宋" w:hAnsi="华文中宋" w:eastAsia="华文中宋" w:cs="宋体"/>
          <w:b/>
          <w:kern w:val="0"/>
          <w:sz w:val="52"/>
          <w:szCs w:val="52"/>
        </w:rPr>
      </w:pPr>
    </w:p>
    <w:p w14:paraId="6DC6CBB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DA5A01A">
      <w:pPr>
        <w:spacing w:line="540" w:lineRule="exact"/>
        <w:jc w:val="center"/>
        <w:rPr>
          <w:rFonts w:ascii="华文中宋" w:hAnsi="华文中宋" w:eastAsia="华文中宋" w:cs="宋体"/>
          <w:b/>
          <w:kern w:val="0"/>
          <w:sz w:val="52"/>
          <w:szCs w:val="52"/>
        </w:rPr>
      </w:pPr>
    </w:p>
    <w:p w14:paraId="6A2B43F7">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6946FD19">
      <w:pPr>
        <w:spacing w:line="540" w:lineRule="exact"/>
        <w:jc w:val="center"/>
        <w:rPr>
          <w:rFonts w:hAnsi="宋体" w:eastAsia="仿宋_GB2312" w:cs="宋体"/>
          <w:kern w:val="0"/>
          <w:sz w:val="30"/>
          <w:szCs w:val="30"/>
        </w:rPr>
      </w:pPr>
    </w:p>
    <w:p w14:paraId="7355DD07">
      <w:pPr>
        <w:spacing w:line="540" w:lineRule="exact"/>
        <w:jc w:val="center"/>
        <w:rPr>
          <w:rFonts w:hAnsi="宋体" w:eastAsia="仿宋_GB2312" w:cs="宋体"/>
          <w:kern w:val="0"/>
          <w:sz w:val="30"/>
          <w:szCs w:val="30"/>
        </w:rPr>
      </w:pPr>
    </w:p>
    <w:p w14:paraId="3F0D5F7D">
      <w:pPr>
        <w:spacing w:line="540" w:lineRule="exact"/>
        <w:jc w:val="center"/>
        <w:rPr>
          <w:rFonts w:hAnsi="宋体" w:eastAsia="仿宋_GB2312" w:cs="宋体"/>
          <w:kern w:val="0"/>
          <w:sz w:val="30"/>
          <w:szCs w:val="30"/>
        </w:rPr>
      </w:pPr>
    </w:p>
    <w:p w14:paraId="0E6BB8F4">
      <w:pPr>
        <w:spacing w:line="540" w:lineRule="exact"/>
        <w:jc w:val="center"/>
        <w:rPr>
          <w:rFonts w:hAnsi="宋体" w:eastAsia="仿宋_GB2312" w:cs="宋体"/>
          <w:kern w:val="0"/>
          <w:sz w:val="30"/>
          <w:szCs w:val="30"/>
        </w:rPr>
      </w:pPr>
    </w:p>
    <w:p w14:paraId="4159C67C">
      <w:pPr>
        <w:spacing w:line="540" w:lineRule="exact"/>
        <w:jc w:val="center"/>
        <w:rPr>
          <w:rFonts w:hAnsi="宋体" w:eastAsia="仿宋_GB2312" w:cs="宋体"/>
          <w:kern w:val="0"/>
          <w:sz w:val="30"/>
          <w:szCs w:val="30"/>
        </w:rPr>
      </w:pPr>
    </w:p>
    <w:p w14:paraId="4A8F3602">
      <w:pPr>
        <w:spacing w:line="540" w:lineRule="exact"/>
        <w:jc w:val="center"/>
        <w:rPr>
          <w:rFonts w:hAnsi="宋体" w:eastAsia="仿宋_GB2312" w:cs="宋体"/>
          <w:kern w:val="0"/>
          <w:sz w:val="30"/>
          <w:szCs w:val="30"/>
        </w:rPr>
      </w:pPr>
    </w:p>
    <w:p w14:paraId="738DE61C">
      <w:pPr>
        <w:spacing w:line="540" w:lineRule="exact"/>
        <w:rPr>
          <w:rFonts w:hAnsi="宋体" w:eastAsia="仿宋_GB2312" w:cs="宋体"/>
          <w:kern w:val="0"/>
          <w:sz w:val="30"/>
          <w:szCs w:val="30"/>
        </w:rPr>
      </w:pPr>
    </w:p>
    <w:p w14:paraId="20F01F98">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B82EA1D">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信息化建设经费</w:t>
      </w:r>
    </w:p>
    <w:p w14:paraId="1CEE8949">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昌吉回族自治州财政局本级</w:t>
      </w:r>
    </w:p>
    <w:p w14:paraId="4BD8AA01">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昌吉回族自治州财政局本级</w:t>
      </w:r>
    </w:p>
    <w:p w14:paraId="291F8606">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李忠</w:t>
      </w:r>
    </w:p>
    <w:p w14:paraId="2DAF28D1">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2024年05月18日</w:t>
      </w:r>
    </w:p>
    <w:p w14:paraId="2711D82E">
      <w:pPr>
        <w:spacing w:line="700" w:lineRule="exact"/>
        <w:ind w:firstLine="708" w:firstLineChars="236"/>
        <w:jc w:val="left"/>
        <w:rPr>
          <w:rFonts w:hAnsi="宋体" w:eastAsia="仿宋_GB2312" w:cs="宋体"/>
          <w:kern w:val="0"/>
          <w:sz w:val="30"/>
          <w:szCs w:val="30"/>
        </w:rPr>
      </w:pPr>
    </w:p>
    <w:p w14:paraId="6FE187D4">
      <w:pPr>
        <w:spacing w:line="540" w:lineRule="exact"/>
        <w:rPr>
          <w:rStyle w:val="18"/>
          <w:rFonts w:ascii="黑体" w:hAnsi="黑体" w:eastAsia="黑体"/>
          <w:b w:val="0"/>
          <w:spacing w:val="-4"/>
          <w:sz w:val="32"/>
          <w:szCs w:val="32"/>
        </w:rPr>
      </w:pPr>
    </w:p>
    <w:p w14:paraId="3B6FA1F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7069732">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D97780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根据《国家发展改革委关于金财工程（一期）项目建议书的批复》（发改高技[2016]664号）、财政部《“金财工程”应用支撑平台建设方案》、《财政部关于加快金财工程建设的实施意见》、《财政部信息化建设管理办法》，全面加强财政信息化建设的统筹规划与规范管理，确保信息化工作协调有序发展，提高信息化建设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按照国务院和财政部《深化政府采购制度改革方案》要求实施“互联网+政府采购”行动，促进政府采购与互联网深度融合，加强电子商务等技术新业态模式在政府采购领域的应用。根据自治区财政厅《关于加快推进自治区政府采购信息化建设的通知》，建设以政府采购电子化交易和管理为重点，涉及政府采购各领域、全流程、多用户，集政府采购网上交易、监管和服务为一体的政府采购公共服务平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（1）项目名称：信息化建设经费项目（以下简称“该项目”或“项目”）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自治区财政厅的总体建设规划及业务实际,对原配楼视频会议室进行改造，建设与自治区财政厅新建视频会议系统无缝衔接的视频会议系统，建设完成后达到同时参与两场视频会议的条件；部署无纸化办公系统，并开展了无纸化办公系统的培训；部署UPS不间断电源系统，包含两台不间断电源主机和配套蓄电池，分别放置在地下一层及视频会议室控制室，为中心机房和视频会议系统在市电中断时瞬时提供应急电力保障，保护中心机房及视频会议系统各设备不受损坏；安装部署含有视频监控及录像存储的监控设备，建设实施监测温度、湿度及供电等数据的集成系统，保障中心机房场所、设备及业务系统数据的整体安全；开展信息系统安全等级测评并安装部署终端安全管理系统；由中国电信保障财政专线的主干线路和互联网线路，财政专网线路上连自治区财政厅，下连昌吉州各县市财政局，线路为光纤，带宽为100M；组织开展政府采购云平台应用培训、推进政府采购活动网上运行，保障州本级政府采购网络运行正常、采购单位在线交易、项目采购全流程管理，建立政府采购用户反馈机制，加强数据分析应用，完善信息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实施主体：昌吉回族自治州财政局。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实施时间：本项目实施周期为2023年1月-2023年12月。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按照《昌吉州财政2023年信息化建设工作计划》，自2023年1月起开始对原配楼视频会议室进行改造、部署无纸化办公系统、部署UPS不间断电源系统、安装部署含有视频监控及录像存储的监控设备、财政专网及互联网线路租赁、组织开展政府采购云平台应用培训、保障州本级政府采购网络运行正常、采购单位在线交易、项目采购全流程管理等工作，分别于2023年4月和7月将相关设备及服务采购议题提交局党组审议通过，并按照局采购小组确定的采购方式完成设备及服务采购事项，</w:t>
      </w:r>
      <w:r>
        <w:rPr>
          <w:rStyle w:val="18"/>
          <w:rFonts w:hint="eastAsia" w:ascii="楷体" w:hAnsi="楷体" w:eastAsia="楷体"/>
          <w:b w:val="0"/>
          <w:bCs w:val="0"/>
          <w:spacing w:val="-4"/>
          <w:sz w:val="32"/>
          <w:szCs w:val="32"/>
          <w:lang w:eastAsia="zh-CN"/>
        </w:rPr>
        <w:t>截至2023年</w:t>
      </w:r>
      <w:r>
        <w:rPr>
          <w:rStyle w:val="18"/>
          <w:rFonts w:hint="eastAsia" w:ascii="楷体" w:hAnsi="楷体" w:eastAsia="楷体"/>
          <w:b w:val="0"/>
          <w:bCs w:val="0"/>
          <w:spacing w:val="-4"/>
          <w:sz w:val="32"/>
          <w:szCs w:val="32"/>
        </w:rPr>
        <w:t>12月该项目已全部完成。通过本项目的实施，对实现财政管理科学化、精细化，促进财政改革与发展起到了重要的支撑作用;推进政府采购活动网上运行，保障州本级政府采购网络运行正常、采购单位在线交易、项目采购全流程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财政局是自治州人民政府工作部门，为正处级。单位主要负责自治州各项财政收支管理责任；负责编制自治州本级预决算草案并组织执行；组织制定经费开支标准、定额、年度预算，负责预决算工作。制定自治州国库管理制度、国库集中收付制度，按规定开展自治州国库现金管理工作，监督管理地方国库资金缴拨使用；负责制定自治州政府采购制度并监督管理;管理自治州财政统一发放工资工作。管理和指导全州会计工作。研究建立财政支出绩效评价制度和评价体系并组织实施；负责自治州财政系统信息化建设规划并组织实施。切实履行财政票据管理工作职责。负责组织起草地方性行政法规草案及实施细则；负责政府非税收入和政府性基金管理。拟定和执行地方政府债务管理制度和办法；开展地方政府债券管理工作。制定自治州基本建设财务管理制度。贯彻执行国家行政事业单位国有资产管理法规、制度和方针政策，管理自治州行政事业单位国有资产。会同自治州有关部门研究制定社会保障资金（基金）政策和有关的财务管理制度，编制自治州社会保障预决算草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昌吉州财政局机构设置：内设12个行政科室,分别是办公室、组织人事科、综合科、预算科、国库科、行政政法科、科教和文化科、经济建设科、农业农村科、社会保障科、资产和政府采购科、金融工作科；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昌吉州财政局下属事业单位有有两个，分别是州财政综合保障中心和州财政公共服务中心，财务不独立核算。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州财政局编制93名，实有人数131名，其中：在职73名，退休58名，离休人员0名。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本项目预算安排总额为615.39万元，资金来源为一般公共预算财政拨款，其中：财政资金615.39万元，其他资金0.00万元，2023年实际收到预算资金615.39万元，预算资金到位率为100.00%。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470.36万元，预算执行率76.43%（预算执行率=（实际支出资金/到位金额）*100.0%，该项目已全部完工，结余资金额度145.03万元，财政已收回）。本项目资金主要用于支付支付设备购置费381.25万元、财政业务专线及互联网线路费用34.68万元、系统运行维护经费54.43万元。</w:t>
      </w:r>
    </w:p>
    <w:p w14:paraId="4F51C56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1F0843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计划全面加强财政信息化建设的统筹规划与规范管理，确保信息化工作协调有序发展，保障项目基础设施、软硬件正常运转，通过对中心机房及视频会议室设备进行更新改造，改善金财平台运行环境；推进政府采购活动网上运行，采购单位在线交易、项目采购全流程管理，建立政府采购用户反馈机制，由政采云有限公司对“政府采购云平台”（电子卖场和项目采购系统）提供技术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“维护软件系统数量”指标，预期指标值为“大于等于5套”；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“购置软硬件数量”指标，预期指标值为“大于等于10套”；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“本级与县市双向线路租赁数量”指标，预期指标值为“大于等于2条”；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“系统故障率”指标，预期指标值为“小于等于5.00%”；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“购置软硬件验收合格率”指标，预期指标值为“等于100.00%”；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“系统运行维护响应时间”指标，预期指标值为“小于等于8小时”；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“系统运行维护经费”指标，预期指标值为“小于等于68.8万元”；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“软硬件购置资金”指标，预期指标值为“小于等于503.7万元”；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“线路租赁费用”指标，预期指标值为“小于等于34.68万元”；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“软硬件系统利用率”指标，预期指标值为“等于95.00%”；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“通过信息化提升业务能力”指标，预期指标值为“提升”；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p>
    <w:p w14:paraId="7D18AD3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969453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AB2535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本次部门项目支出绩效评价，旨在强化资金使用部门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此次我单位根据《财政支出绩效评价管理暂行办法》（财预〔2020〕10号）文件要求实施评价工作，本次评价对象为信息化建设经费项目，评价核心为项目资金、项目产出、项目效益。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(5)《关于下达昌吉州本级预算单位2023年部门预算的通知》（昌州财行〔2023〕1号）；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(6)《昌吉州财政局财务管理制度（试行）》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(7)《昌吉州财政局内部采购活动管理制度》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(8)《昌吉州财政局合同管理制度》。</w:t>
      </w:r>
    </w:p>
    <w:p w14:paraId="2568534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D983D3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30.0%）、效益指标（30.0%）四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以及文献法对项目进行评价，旨在通过综合分析影响绩效目标实现、实施效果的内外部因素，从而评价本项目绩效。三级指标分析环节：总体采用比较法，同时辅以文献法</w:t>
      </w:r>
      <w:r>
        <w:rPr>
          <w:rStyle w:val="18"/>
          <w:rFonts w:hint="eastAsia" w:ascii="楷体" w:hAnsi="楷体" w:eastAsia="楷体"/>
          <w:b w:val="0"/>
          <w:bCs w:val="0"/>
          <w:spacing w:val="-4"/>
          <w:sz w:val="32"/>
          <w:szCs w:val="32"/>
          <w:lang w:eastAsia="zh-CN"/>
        </w:rPr>
        <w:t>以及</w:t>
      </w:r>
      <w:r>
        <w:rPr>
          <w:rStyle w:val="18"/>
          <w:rFonts w:hint="eastAsia" w:ascii="楷体" w:hAnsi="楷体" w:eastAsia="楷体"/>
          <w:b w:val="0"/>
          <w:bCs w:val="0"/>
          <w:spacing w:val="-4"/>
          <w:sz w:val="32"/>
          <w:szCs w:val="32"/>
        </w:rPr>
        <w:t>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E72AD4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CE299C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2024年3月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刘涛（评价小组组长）：主要负责项目策划和监督，全面负责项目绩效评价办稿的最终质量，对评估人员出具的最终报告质量进行复核，确保评估结果的客观性；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马玥（评价小组组员）：主要负责主要负责项目报告的制定，指标的研判；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范雪燕（评价小组组员）：主要负责资料的收集，取证、数据统计分析及报告撰写。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2024年3月5日-3月15日，评价工作进入实施阶段。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2024年3月21-3月30日，评价小组撰写绩效评价报告，按照新疆维吾尔自治区财政绩效管理信息系统绩效评价模块中统一格式和文本框架撰写绩效评价报告并提交审核。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D60AA5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44085A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较大程度达成年初设立的绩效目标，在实施过程中取得了良好的成效，具体表现在：通过项目的实施，完成了维护软件系统数量5套、购置软硬件数量10套、本级与县市双向线路租赁2条、系统故障率控制在5%、购置软硬件验收合格率100%、项目成本控制在预算内，软硬件系统利用率95%，通过信息化提升业务能力。但在实施过程中也存在一些不足：1.该项目中部分硬件设备政府采购实施较晚，项目资金支付进度低于序时进度，该项目在绩效监控节点预算执行率偏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2.财务部门和业务部门密切协作配合有待提高。在预算编制过程中，对上年度预算执行情况的分析和对新一年度业务需求的预判不够充分，对预算执行进度无法合理预计，造成预算执行与预算编制出现较大差异。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22个，实现三级指标数量21个，总体完成率为95.45%。最终评分结果：总分为98.82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过程管理类指标共设置5个，满分指标4个，得分率93.80%；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项目产出类指标共设置9个，满分指标9个，得分率100.00%；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项目效益类指标共设置2个，满分指标2个，得分率100.00%。</w:t>
      </w:r>
    </w:p>
    <w:p w14:paraId="7A5AA2E1">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4096078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5667910C">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财政部颁发的《财政部关于加快金财工程建设的实施意见》（财办〔2006〕45号）中：“建设内容：构建一个应用支撑平台（即数据库），实现二级数据处理（即中央与地方分级数据处理），建成三个网络（即内部涉密网、工作专网和外网）、四个系统（即预算编制系统、预算执行系统、决策支持系统和行政管理系统）、坚持五个统一（即统一领导、统一规划、统一技术标准、统一数据库和统一组织实施）”；本项目立项符合《财政部信息化建设管理办法》中：“财政信息化建设项目主要包括：财政应用系统建设项目，网络、安全、数据库等信息基础设施建设项目，运行维护建设项目及其他财政信息化建设项目等”内容，符合行业发展规划和政策要求；本项目立项符合《昌吉回族自治州财政局配置内设机构和人员编制规定》中职责范围中的“负责自治州财政系统信息化建设规划并组织实施”，属于我单位履职所需；根据《财政资金直接支付申请书》，本项目资金性质为“公共财政预算”功能分类为“财政事务”经济分类为“商品和服务支出”、“信息网络及软件购置更新”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局党组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新疆维吾尔自治区2021-2022年度政府集中采购目录及标准》(新财购〔2020〕15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全面加强财政信息化建设的统筹规划与规范管理，确保信息化工作协调有序发展，提高信息化建设水平，维护软件系统数量5套，购置软硬件数量10套，本级与县市双向线路租赁2条，软硬件系统利用率达到95%以上，通过信息化提升业务能力。”；本项目实际工作内容为：根据自治区财政厅的总体建设规划及业务实际,对原配楼视频会议室进行改造，建设与自治区财政厅新建视频会议系统无缝衔接的视频会议系统；部署无纸化办公系统，并开展了无纸化办公系统的培训；部署UPS不间断电源系统，为中心机房和视频会议系统在市电中断时瞬时提供应急电力保障；安装部署含有视频监控及录像存储的监控设备，建设实施监测温度、湿度及供电等数据的集成系统；开展信息系统安全等级测评并安装部署终端安全管理系统；由中国电信保障财政专线的主干线路和互联网线路；组织开展政府采购云平台应用培训、推进政府采购活动网上运行，保障州本级政府采购网络运行正常、采购单位在线交易、项目采购全流程管理；绩效目标与实际工作内容一致，两者具有相关性;本项目按照绩效目标完成了数量指标、质量指标、时效指标、成本指标，有效保障了我局信息化工作协调有序发展，提高信息化建设水平，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11个，定量指标10个，定性指标1个，指标量化率为90.91%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预算申请内容为信息化建设经费，项目实际内容为信息化建设经费，预算申请与《信息化建设经费项目实施方案》中涉及的项目内容匹配；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本项目预算申请资金615.39万元，我单位在预算申请中严格按照单位信息化建设规划和年度项目计划实施。本项目预算额度测算依据充分，严格按照标准编制，预算确定资金量与实际工作任务相匹配；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报2023年度昌吉州财政局项目预算的请示》和《信息化建设经费项目实施方案》为依据进行资金分配，预算资金分配依据充分。根据《关于下达昌吉州本级预算单位2023年部门预算的通知》文件显示，本项目实际到位资金615.39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5C418A8D">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2C920A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项目过程管理类指标由2个二级指标和5个三级指标构成，权重分19.00分，实际得分17.80分。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615.39万元，其中：本级财政安排资金615.39万元，其他资金0.00万元，实际到位资金615.39万元，资金到位率=（实际到位资金/预算资金）×100.00%=（615.39/615.39）*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本项目实际支出资金470.36万元，预算执行率=（实际支出资金/实际到位资金）×100.00%=（470.36/615.39）*100.00%=76.43%。得分=预算执行率*分值=76.43%*5=3.82分。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综上所述，本指标满分为5.00分，根据评分标准得3.82分，本项目资金分配合理。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昌吉州财政局资金管理办法》《州级财政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昌吉州财政局财务管理制度（试行）》、《昌吉州财政局内部采购活动管理制度》、《昌吉州财政局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信息化建设经费项目工作领导小组，由党组书记张琴任组长，负责项目的组织工作；陈超任副组长，负责项目的实施工作；组员包括：苏怀儒和范雪燕，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7880F00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2DC2BF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项目产出类指标由4个二级指标和9个三级指标构成，权重分30.00分，实际得分30.00分。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“维护软件系统数量”指标，预期指标值为“大于等于5套”，实际完成指标值为“5套”，指标完成率为100.00%。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“购置软硬件数量”指标，预期指标值为“大于等于10套”，实际完成指标值为“10套”，指标完成率为100.00%。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“本级与县市双向线路租赁数量”指标，预期指标值为“大于等于2条”，实际完成指标值为“2条”，指标完成率为100.00%。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“系统故障率”指标：预期指标值为“小于等于5.00%”，实际完成指标值为“5.00%”，指标完成率为100.00%。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“购置软硬件验收合格率”指标：预期指标值为“等于100.00%”，实际完成指标值为“100.00%”，指标完成率为100.00%。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“系统运行维护响应时间”指标：预期指标值为“小于等于8小时”，实际完成指标值为“8小时”，指标完成率为100.00%。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“系统运行维护经费”指标：预期指标值为“小于等于68.80万元”，实际完成指标值为“54.43万元”，指标完成率为100.00%。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“软硬件购置资金”指标：预期指标值为“小于等于503.70万元”，实际完成指标值为“381.25万元”，指标完成率为100.00%。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“线路租赁费用”指标：预期指标值为“小于等于34.68万元”，实际完成指标值为“34.68万元”，指标完成率为100.00%。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p>
    <w:p w14:paraId="08DC302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0C4E0A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项目效益类指标由2个二级指标和2个三级指标构成，权重分30.00分，实际得分30.00分。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“软硬件系统利用率”指标：预期指标值为“等于95.00%”，实际完成指标值为“95.00%”，指标完成率为100.00%。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综上所述，本指标满分为15.00分，根据评分标准得15.00分。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“通过信息化提升业务能力”指标：预期指标值为“提升”，实际完成指标值为“达成目标”，指标完成率为100.00%。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综上所述，本指标满分为15.00分，根据评分标准得15.00分。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p>
    <w:p w14:paraId="05978EF5">
      <w:pPr>
        <w:spacing w:line="540" w:lineRule="exact"/>
        <w:ind w:firstLine="567"/>
        <w:rPr>
          <w:rStyle w:val="18"/>
          <w:rFonts w:ascii="楷体" w:hAnsi="楷体" w:eastAsia="楷体"/>
          <w:spacing w:val="-4"/>
          <w:sz w:val="32"/>
          <w:szCs w:val="32"/>
        </w:rPr>
      </w:pPr>
    </w:p>
    <w:p w14:paraId="4D3A0CAC">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206BF2EA">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本项目年初预算资金总额为615.39万元，全年预算数为615.39万元，全年执行数为470.36万元，预算执行率为76.43%。</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本项目共设置三级指标数量22个，满分指标数量21个，扣分指标数量1个，经分析计算所有三级指标完成率得出，本项目总体完成率为98.82%。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进度与总体完成进度之间的偏差为22.39%。主要偏差原因：一是本年度项目预算中包含上年度结转资金；二是按年度工作计划和政府采购程序完成设备购置,实际采购中标金额小于项目采购预算金额,结余资金财政收回。</w:t>
      </w:r>
    </w:p>
    <w:p w14:paraId="5AF94B10">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2203B4DE">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相关科室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1.单位内部工作协同机制有待提高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的预算编制和高效的预算执行，需要财务部门和业务部门密切协作配合。在预算编制过程中，对上年度预算执行情况的分析和对新一年度业务需求的预判不够充分，对预算执行进度无法合理预计，就会造成预算执行与编制出现差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2.绩效目标的可衡量性、相关性还需进一步提升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设置绩效目标时应考虑核心目标的可实现，做到目标的细化量化、明确清晰，预算绩效目标和指标值设定还不够科学，对绩效监控和绩效评价工作有一定影响。</w:t>
      </w:r>
    </w:p>
    <w:p w14:paraId="51FA5BA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395EED30">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1.提高预算编制及执行管理水平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要提高预算编制工作质量。对预算科目进行科学细化，对每项预算的内容、数额、测算依据等进行明确，对项目预算采取滚动管理，及时清理项目库，进一步优化、细化，真正形成预算编制、预算执行、绩效评价等预算管理闭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二是进一步加强制度建设，提升预算编制的准确性和预算执行的刚性约束，发挥好单位内部预算执行的常态化监控和跟踪，及时纠错纠偏。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7162FAC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36A166A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272C8B14">
      <w:pPr>
        <w:spacing w:line="540" w:lineRule="exact"/>
        <w:ind w:firstLine="567"/>
        <w:rPr>
          <w:rStyle w:val="18"/>
          <w:rFonts w:ascii="仿宋" w:hAnsi="仿宋" w:eastAsia="仿宋"/>
          <w:b w:val="0"/>
          <w:spacing w:val="-4"/>
          <w:sz w:val="32"/>
          <w:szCs w:val="32"/>
        </w:rPr>
      </w:pPr>
    </w:p>
    <w:p w14:paraId="36938469">
      <w:pPr>
        <w:spacing w:line="540" w:lineRule="exact"/>
        <w:ind w:firstLine="567"/>
        <w:rPr>
          <w:rStyle w:val="18"/>
          <w:rFonts w:ascii="仿宋" w:hAnsi="仿宋" w:eastAsia="仿宋"/>
          <w:b w:val="0"/>
          <w:spacing w:val="-4"/>
          <w:sz w:val="32"/>
          <w:szCs w:val="32"/>
        </w:rPr>
      </w:pPr>
    </w:p>
    <w:p w14:paraId="260DBED4">
      <w:pPr>
        <w:spacing w:line="540" w:lineRule="exact"/>
        <w:ind w:firstLine="567"/>
        <w:rPr>
          <w:rStyle w:val="18"/>
          <w:rFonts w:ascii="仿宋" w:hAnsi="仿宋" w:eastAsia="仿宋"/>
          <w:b w:val="0"/>
          <w:spacing w:val="-4"/>
          <w:sz w:val="32"/>
          <w:szCs w:val="32"/>
        </w:rPr>
      </w:pPr>
    </w:p>
    <w:p w14:paraId="4CE1A5B6">
      <w:pPr>
        <w:spacing w:line="540" w:lineRule="exact"/>
        <w:ind w:firstLine="567"/>
        <w:rPr>
          <w:rStyle w:val="18"/>
          <w:rFonts w:ascii="仿宋" w:hAnsi="仿宋" w:eastAsia="仿宋"/>
          <w:b w:val="0"/>
          <w:spacing w:val="-4"/>
          <w:sz w:val="32"/>
          <w:szCs w:val="32"/>
        </w:rPr>
      </w:pPr>
    </w:p>
    <w:p w14:paraId="03D22CE1">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1F07937-E23F-4BE4-9917-8209CA8996B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72EC060-FA9E-47AD-B4B5-A81D1663F3B1}"/>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BE8D0502-24F3-47A3-A708-F685D73B415B}"/>
  </w:font>
  <w:font w:name="华文中宋">
    <w:panose1 w:val="02010600040101010101"/>
    <w:charset w:val="86"/>
    <w:family w:val="auto"/>
    <w:pitch w:val="default"/>
    <w:sig w:usb0="00000287" w:usb1="080F0000" w:usb2="00000000" w:usb3="00000000" w:csb0="0004009F" w:csb1="DFD70000"/>
    <w:embedRegular r:id="rId4" w:fontKey="{4B9EA772-8DC0-4F57-BF8E-AD6ABD947018}"/>
  </w:font>
  <w:font w:name="方正小标宋_GBK">
    <w:panose1 w:val="02000000000000000000"/>
    <w:charset w:val="86"/>
    <w:family w:val="script"/>
    <w:pitch w:val="default"/>
    <w:sig w:usb0="A00002BF" w:usb1="38CF7CFA" w:usb2="00082016" w:usb3="00000000" w:csb0="00040001" w:csb1="00000000"/>
    <w:embedRegular r:id="rId5" w:fontKey="{523CCB4A-C55D-4C11-899B-1AE04C77C98C}"/>
  </w:font>
  <w:font w:name="仿宋_GB2312">
    <w:altName w:val="仿宋"/>
    <w:panose1 w:val="00000000000000000000"/>
    <w:charset w:val="86"/>
    <w:family w:val="modern"/>
    <w:pitch w:val="default"/>
    <w:sig w:usb0="00000000" w:usb1="00000000" w:usb2="00000010" w:usb3="00000000" w:csb0="00040000" w:csb1="00000000"/>
    <w:embedRegular r:id="rId6" w:fontKey="{3A7FA818-1D75-4C4E-969D-6DFA9BE98397}"/>
  </w:font>
  <w:font w:name="楷体">
    <w:panose1 w:val="02010609060101010101"/>
    <w:charset w:val="86"/>
    <w:family w:val="modern"/>
    <w:pitch w:val="default"/>
    <w:sig w:usb0="800002BF" w:usb1="38CF7CFA" w:usb2="00000016" w:usb3="00000000" w:csb0="00040001" w:csb1="00000000"/>
    <w:embedRegular r:id="rId7" w:fontKey="{6E10D47A-EA5E-4A3D-A3B5-5B2B1230F1F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8504C37">
        <w:pPr>
          <w:pStyle w:val="12"/>
          <w:jc w:val="center"/>
        </w:pPr>
        <w:r>
          <w:fldChar w:fldCharType="begin"/>
        </w:r>
        <w:r>
          <w:instrText xml:space="preserve">PAGE   \* MERGEFORMAT</w:instrText>
        </w:r>
        <w:r>
          <w:fldChar w:fldCharType="separate"/>
        </w:r>
        <w:r>
          <w:rPr>
            <w:lang w:val="zh-CN"/>
          </w:rPr>
          <w:t>2</w:t>
        </w:r>
        <w:r>
          <w:fldChar w:fldCharType="end"/>
        </w:r>
      </w:p>
    </w:sdtContent>
  </w:sdt>
  <w:p w14:paraId="3693704A">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58EA1DDA"/>
    <w:rsid w:val="62051CA5"/>
    <w:rsid w:val="627B4483"/>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11612</Words>
  <Characters>12435</Characters>
  <Lines>4</Lines>
  <Paragraphs>1</Paragraphs>
  <TotalTime>2</TotalTime>
  <ScaleCrop>false</ScaleCrop>
  <LinksUpToDate>false</LinksUpToDate>
  <CharactersWithSpaces>12451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小麦啾</cp:lastModifiedBy>
  <cp:lastPrinted>2018-12-31T10:56:00Z</cp:lastPrinted>
  <dcterms:modified xsi:type="dcterms:W3CDTF">2026-08-21T09:46:00Z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C734C92AAAF24344A0E4232D8EB3359B</vt:lpwstr>
  </property>
  <property fmtid="{D5CDD505-2E9C-101B-9397-08002B2CF9AE}" pid="4" name="KSOTemplateDocerSaveRecord">
    <vt:lpwstr>eyJoZGlkIjoiZGZmMjg3MDQ2MzExNDk0OWY5M2UwNzBmOWViMDBkMGMiLCJ1c2VySWQiOiIzMjQ5NjUzODcifQ==</vt:lpwstr>
  </property>
</Properties>
</file>