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A9087">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093F79A0">
      <w:pPr>
        <w:spacing w:line="540" w:lineRule="exact"/>
        <w:jc w:val="center"/>
        <w:rPr>
          <w:rFonts w:ascii="华文中宋" w:hAnsi="华文中宋" w:eastAsia="华文中宋" w:cs="宋体"/>
          <w:b/>
          <w:kern w:val="0"/>
          <w:sz w:val="52"/>
          <w:szCs w:val="52"/>
        </w:rPr>
      </w:pPr>
    </w:p>
    <w:p w14:paraId="7399D5A9">
      <w:pPr>
        <w:spacing w:line="540" w:lineRule="exact"/>
        <w:jc w:val="center"/>
        <w:rPr>
          <w:rFonts w:ascii="华文中宋" w:hAnsi="华文中宋" w:eastAsia="华文中宋" w:cs="宋体"/>
          <w:b/>
          <w:kern w:val="0"/>
          <w:sz w:val="52"/>
          <w:szCs w:val="52"/>
        </w:rPr>
      </w:pPr>
    </w:p>
    <w:p w14:paraId="2BC5645B">
      <w:pPr>
        <w:spacing w:line="540" w:lineRule="exact"/>
        <w:jc w:val="center"/>
        <w:rPr>
          <w:rFonts w:ascii="华文中宋" w:hAnsi="华文中宋" w:eastAsia="华文中宋" w:cs="宋体"/>
          <w:b/>
          <w:kern w:val="0"/>
          <w:sz w:val="52"/>
          <w:szCs w:val="52"/>
        </w:rPr>
      </w:pPr>
    </w:p>
    <w:p w14:paraId="322FDFCB">
      <w:pPr>
        <w:spacing w:line="540" w:lineRule="exact"/>
        <w:jc w:val="center"/>
        <w:rPr>
          <w:rFonts w:ascii="华文中宋" w:hAnsi="华文中宋" w:eastAsia="华文中宋" w:cs="宋体"/>
          <w:b/>
          <w:kern w:val="0"/>
          <w:sz w:val="52"/>
          <w:szCs w:val="52"/>
        </w:rPr>
      </w:pPr>
    </w:p>
    <w:p w14:paraId="334ED05C">
      <w:pPr>
        <w:spacing w:line="540" w:lineRule="exact"/>
        <w:jc w:val="center"/>
        <w:rPr>
          <w:rFonts w:ascii="华文中宋" w:hAnsi="华文中宋" w:eastAsia="华文中宋" w:cs="宋体"/>
          <w:b/>
          <w:kern w:val="0"/>
          <w:sz w:val="52"/>
          <w:szCs w:val="52"/>
        </w:rPr>
      </w:pPr>
    </w:p>
    <w:p w14:paraId="67EC275D">
      <w:pPr>
        <w:spacing w:line="540" w:lineRule="exact"/>
        <w:jc w:val="center"/>
        <w:rPr>
          <w:rFonts w:ascii="华文中宋" w:hAnsi="华文中宋" w:eastAsia="华文中宋" w:cs="宋体"/>
          <w:b/>
          <w:kern w:val="0"/>
          <w:sz w:val="52"/>
          <w:szCs w:val="52"/>
        </w:rPr>
      </w:pPr>
    </w:p>
    <w:p w14:paraId="6954275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B4AC537">
      <w:pPr>
        <w:spacing w:line="540" w:lineRule="exact"/>
        <w:jc w:val="center"/>
        <w:rPr>
          <w:rFonts w:ascii="华文中宋" w:hAnsi="华文中宋" w:eastAsia="华文中宋" w:cs="宋体"/>
          <w:b/>
          <w:kern w:val="0"/>
          <w:sz w:val="52"/>
          <w:szCs w:val="52"/>
        </w:rPr>
      </w:pPr>
    </w:p>
    <w:p w14:paraId="1416F62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54EA45A">
      <w:pPr>
        <w:spacing w:line="540" w:lineRule="exact"/>
        <w:jc w:val="center"/>
        <w:rPr>
          <w:rFonts w:hAnsi="宋体" w:eastAsia="仿宋_GB2312" w:cs="宋体"/>
          <w:kern w:val="0"/>
          <w:sz w:val="30"/>
          <w:szCs w:val="30"/>
        </w:rPr>
      </w:pPr>
    </w:p>
    <w:p w14:paraId="78F888F8">
      <w:pPr>
        <w:spacing w:line="540" w:lineRule="exact"/>
        <w:jc w:val="center"/>
        <w:rPr>
          <w:rFonts w:hAnsi="宋体" w:eastAsia="仿宋_GB2312" w:cs="宋体"/>
          <w:kern w:val="0"/>
          <w:sz w:val="30"/>
          <w:szCs w:val="30"/>
        </w:rPr>
      </w:pPr>
    </w:p>
    <w:p w14:paraId="0AF489A0">
      <w:pPr>
        <w:spacing w:line="540" w:lineRule="exact"/>
        <w:jc w:val="center"/>
        <w:rPr>
          <w:rFonts w:hAnsi="宋体" w:eastAsia="仿宋_GB2312" w:cs="宋体"/>
          <w:kern w:val="0"/>
          <w:sz w:val="30"/>
          <w:szCs w:val="30"/>
        </w:rPr>
      </w:pPr>
    </w:p>
    <w:p w14:paraId="7C433AAC">
      <w:pPr>
        <w:spacing w:line="540" w:lineRule="exact"/>
        <w:jc w:val="center"/>
        <w:rPr>
          <w:rFonts w:hAnsi="宋体" w:eastAsia="仿宋_GB2312" w:cs="宋体"/>
          <w:kern w:val="0"/>
          <w:sz w:val="30"/>
          <w:szCs w:val="30"/>
        </w:rPr>
      </w:pPr>
    </w:p>
    <w:p w14:paraId="5BC17AEB">
      <w:pPr>
        <w:spacing w:line="540" w:lineRule="exact"/>
        <w:jc w:val="center"/>
        <w:rPr>
          <w:rFonts w:hAnsi="宋体" w:eastAsia="仿宋_GB2312" w:cs="宋体"/>
          <w:kern w:val="0"/>
          <w:sz w:val="30"/>
          <w:szCs w:val="30"/>
        </w:rPr>
      </w:pPr>
    </w:p>
    <w:p w14:paraId="75480E3E">
      <w:pPr>
        <w:spacing w:line="540" w:lineRule="exact"/>
        <w:jc w:val="center"/>
        <w:rPr>
          <w:rFonts w:hAnsi="宋体" w:eastAsia="仿宋_GB2312" w:cs="宋体"/>
          <w:kern w:val="0"/>
          <w:sz w:val="30"/>
          <w:szCs w:val="30"/>
        </w:rPr>
      </w:pPr>
    </w:p>
    <w:p w14:paraId="2905BB19">
      <w:pPr>
        <w:spacing w:line="540" w:lineRule="exact"/>
        <w:rPr>
          <w:rFonts w:hAnsi="宋体" w:eastAsia="仿宋_GB2312" w:cs="宋体"/>
          <w:kern w:val="0"/>
          <w:sz w:val="30"/>
          <w:szCs w:val="30"/>
        </w:rPr>
      </w:pPr>
    </w:p>
    <w:p w14:paraId="718D7F94">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C035653">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昌吉州基层党员（远程）教育系统信息化建设项目</w:t>
      </w:r>
    </w:p>
    <w:p w14:paraId="73BE7D7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昌吉回族自治州党员干部现代远程教育管理中心</w:t>
      </w:r>
    </w:p>
    <w:p w14:paraId="1B4E363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昌吉回族自治州党员干部现代远程教育管理中心</w:t>
      </w:r>
    </w:p>
    <w:p w14:paraId="2B3DE25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孔森</w:t>
      </w:r>
    </w:p>
    <w:p w14:paraId="00254E83">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2024年04月02日</w:t>
      </w:r>
    </w:p>
    <w:p w14:paraId="1B5ED168">
      <w:pPr>
        <w:spacing w:line="700" w:lineRule="exact"/>
        <w:ind w:firstLine="708" w:firstLineChars="236"/>
        <w:jc w:val="left"/>
        <w:rPr>
          <w:rFonts w:hAnsi="宋体" w:eastAsia="仿宋_GB2312" w:cs="宋体"/>
          <w:kern w:val="0"/>
          <w:sz w:val="30"/>
          <w:szCs w:val="30"/>
        </w:rPr>
      </w:pPr>
    </w:p>
    <w:p w14:paraId="6F909AA4">
      <w:pPr>
        <w:spacing w:line="540" w:lineRule="exact"/>
        <w:rPr>
          <w:rStyle w:val="18"/>
          <w:rFonts w:ascii="黑体" w:hAnsi="黑体" w:eastAsia="黑体"/>
          <w:b w:val="0"/>
          <w:spacing w:val="-4"/>
          <w:sz w:val="32"/>
          <w:szCs w:val="32"/>
        </w:rPr>
      </w:pPr>
    </w:p>
    <w:p w14:paraId="7994CE4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DEC5F79">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E307DF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为贯彻落实《中国共产党党员教育管理工作条例》，适应疫情防控常态化要求，根据《关于下达昌吉州本级预算单位2023年部门预算的通知》（昌州财行〔2023〕1号）文件要求，按照自治区党委组织部《关于做好全区基层党员（远程）教育站点接入综治视联网工作的通知》（新组电明字〔2021〕2号）中“在充分运用现代信息化技术基础上，不断创新党员教育培训方式方法，加大线上培训力度”的文件精神，昌吉州基层党员（远程）教育系统信息化建设项目批准立项，依托视联网视频会议系统，常态化开展党员教育培训工作，进一步提升党员教育培训质量。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（1）项目名称：昌吉州基层党员（远程）教育系统信息化建设项目（以下简称“项目”）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完成全州视联网视频会议系统的建设，包含昌吉州党委一楼会议室、州党委组织部三楼会议室、州党委后院四楼会议室、州党员教育中心会议室和全州各县（市）委组织部，79个乡镇（街道）会议室、598个村（社区）基层党员（远程）站点视联网视频会议的软硬件安装、设备调试、软件适配、操作培训、技术咨询、运行维护、服务保障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实施主体：昌吉州党员教育中心。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实施时间：本项目实施周期为2023年1月-2023年12月。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项目主要内容为完成全州视联网视频会议系统的建设，包含昌吉州党委一楼会议室、州党委组织部三楼会议室、州党委后院四楼会议室、州党员教育中心会议室和全州各县（市）委组织部，79个乡镇（街道）会议室、598个村（社区）基层党员（远程）站点视联网视频会议的软硬件安装、设备调试、软件适配、操作培训、技术咨询、运行维护、服务保障等。项目的实施提高了基层党员（远程）教育站点信息化水平，提升了基层党员教育系统铺设覆盖面，增强了党员教育的实效性、针对性、有效性，提高了党员教育水平，激发了党员教育的活力。本项目于2023年3月开始实施，总投资1989万元，资金来源财政拨款，分3年支付，2021年支付1193.4万元，2022年支付596.7万元，2023年支付198.9万元。</w:t>
      </w:r>
      <w:r>
        <w:rPr>
          <w:rStyle w:val="18"/>
          <w:rFonts w:hint="eastAsia" w:ascii="楷体" w:hAnsi="楷体" w:eastAsia="楷体"/>
          <w:b w:val="0"/>
          <w:bCs w:val="0"/>
          <w:spacing w:val="-4"/>
          <w:sz w:val="32"/>
          <w:szCs w:val="32"/>
          <w:lang w:eastAsia="zh-CN"/>
        </w:rPr>
        <w:t>截至2023年</w:t>
      </w:r>
      <w:r>
        <w:rPr>
          <w:rStyle w:val="18"/>
          <w:rFonts w:hint="eastAsia" w:ascii="楷体" w:hAnsi="楷体" w:eastAsia="楷体"/>
          <w:b w:val="0"/>
          <w:bCs w:val="0"/>
          <w:spacing w:val="-4"/>
          <w:sz w:val="32"/>
          <w:szCs w:val="32"/>
        </w:rPr>
        <w:t>12月已完成所有款项支付。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党员教育中心是昌吉州党委组织部下属参公事业单位，为副县级。单位主要为全州党员教育工作提供服务。全州党员教育工作宏观指导，制定全州党员教育工作政策、规划、计划，全州党员教育工作、远程教育工作检查指导，党员教育信息化平台建设，党员教育教学资源制作，党员教育相关媒体平台运行管理、安全维护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昌吉州党员教育中心机构设置：无下属预算单位，内设3个科室，分别是：综合科、培训科、教学资源科。昌吉州党员教育中心单位人员总数11名，其中：在职11名，退休0名，离休0名。实有人员6人。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本项目预算安排总额为198.90万元，资金来源为州本级财政拨付，其中：财政资金198.90万元，其他资金0.00万元，2023年实际收到预算资金198.90万元，预算资金到位率为100.00%。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截至2023年12月31日，本项目实际支付资金198.90万元，预算执行率100.00%。本项目资金主要用于支付昌吉州基层党员（远程）教育系统信息化建设项目费用198.90万元。</w:t>
      </w:r>
    </w:p>
    <w:p w14:paraId="5EC76B1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BF9972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充分运用现代信息化技术基础上，不断创新党员教育培训方式方法，加大线上培训力度，完成全州视联网视频会议系统的建设，包含昌吉州党委一楼会议室、州党委组织部三楼会议室、州党委后院四楼会议室、州党员教育中心会议室和全州各县（市）委组织部，79个乡镇（街道）会议室、598个村（社区）基层党员（远程）站点视联网视频会议的软硬件安装、设备调试、软件适配、操作培训、技术咨询、运行维护、服务保障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“州级视频会议打造”指标，预期指标值为“大于等于3个”；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“完成全州视联网视频会议系统建设”指标，预期指标值为“大于等于680个”。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“系统覆盖率”指标，预期指标值为“大于等于95.00%”。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“建设完成时限”指标，预期指标值为“2023年12月20日”。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“预算成本控制率”指标，预期指标值为“小于等于100.00%”；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“项目第三期费用支出”指标，预期指标值为“小于等于198.90万元”。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“信息化水平不断提升”指标，预期指标值为“提升”；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“系统覆盖面不断提升”指标，预期指标值为“提升”。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“受众满意度”指标，预期指标值为“大于等于95.00%”。</w:t>
      </w:r>
    </w:p>
    <w:p w14:paraId="674F4C8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CB8140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1582F3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此次我单位根据《财政支出绩效评价管理暂行办法》（财预〔2020〕10号）文件要求实施评价工作，本次评价对象为昌吉州基层党员（远程）教育系统信息化建设项目，评价核心为项目资金、项目产出、项目效益。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(5)《关于下达昌吉州本级预算单位2023年部门预算的通知》（昌州财行〔2023〕1号）；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(6)《关于做好全区基层党员（远程）教育站点接入综治视联网工作的通知》（新组电明字〔2021〕2号）。</w:t>
      </w:r>
    </w:p>
    <w:p w14:paraId="29CEE5B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0D1000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C74E1D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B0D115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3月19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蒋钰（评价小组组长）：主要负责项目策划和监督，全面负责项目绩效评价办稿的最终质量，对评估人员出具的最终报告质量进行复核，确保评估结果的客观性；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佟晓琰（评价小组组员）：主要负责资料的收集，取证、数据统计分析；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2024年3月19日-3月31日，评价工作进入实施阶段。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乡镇（街道）、村（社区）党员（远程）教育站点。我们根据绩效评价目标和绩效指标体系，设计满意度调查问卷进行问卷调查，其中乡镇（街道）受益对象共选取样本30人，共发放问卷30份，最终收回30份；村（社区）受益对象共选取样本20人，共发放问卷20份，最终收回20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2024年4月1日-4月20日，评价小组按照绩效评价的原则和规范，对取得的资料进行审查核实，对采集的数据进行分析，按照绩效评价指标评分表逐项进行打分、分析、汇总各方评价结果。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2024年4月20-4月30日，评价小组撰写绩效评价报告，按照新疆维吾尔自治区财政绩效管理信息系统绩效评价模块中统一格式和文本框架撰写绩效评价报告并提交审核。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57E7B9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FD4181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部分达成）年初设立的绩效目标，在实施过程中取得了良好的成效，具体表现在：通过项目的实施，完成了昌吉州基层党员（远程）教育系统信息化建设项目产出目标，发挥了视频系统覆盖面效益。但在实施过程中也存在一些不足：资金支付不及时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19个，总体完成率为95.00%。最终评分结果：总分为99.40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过程管理类指标共设置5个，满分指标4个，得分率97.14%；</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项目产出类指标共设置6个，满分指标6个，得分率100.00%；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项目效益类指标共设置3个，满分指标3个，得分率100.00%；</w:t>
      </w:r>
    </w:p>
    <w:p w14:paraId="01B0BDE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381B22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CDC563A">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项目决策类指标由3个二级指标和6个三级指标构成，权重分21.00分，实际得分20.40分。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昌吉州财政局颁发的《2023年党委财经会项目》（昌州财经〔2023〕2号）中：“昌吉州基层党员（远程）教育站点信息化项目第三期建设费用”；本项目立项符合《昌吉州基层党员（远程）教育站点信息化项目》，符合行业发展规划和政策要求；本项目立项符合《昌吉州党员教育中心单位配置内设机构和人员编制规定》中职责范围中的“承担昌吉党建网（博格达网）、新疆党员教育服务管理系统（党员&lt;远程&gt;教育站点）、昌吉州党员干部在线学习考试智能管理系统、博格达视野微信公众号（视频号）、党员（远程）教育站点视联网视频会议系统等平台的运行管理和安全维护工作”，属于我单位履职所需；根据《财政资金直接支付申请书》，本项目资金性质为“公共财政预算”功能分类为“2013299其他组织事务支出”经济分类为“30213维修（护）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完成全州视联网视频会议系统的建设，包含昌吉州党委一楼会议室、州党委组织部三楼会议室、州党委后院四楼会议室、州党员教育中心会议室和全州各县（市）委组织部，79个乡镇（街道）会议室、598个村（社区）基层党员（远程）站点视联网视频会议的软硬件安装、设备调试、软件适配、操作培训、技术咨询、运行维护、服务保障等。”；本项目实际工作内容为：昌吉州基层党员（远程）教育系统信息化建设；绩效目标与实际工作内容一致，两者具有相关性;本项目按照绩效目标完成了数量指标、质量指标、时效指标、成本指标，有效保障了全州688个视联网点位视频会议系统的建设及安全稳定运行，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9个，定量指标6个，定性指标3个，指标量化率为66.67%，量化率未达70.00%以上，根据评分标准，扣0.60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综上所述，本指标满分为3.00分，根据评分标准得2.40分，本项目所设置绩效指标较明确。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保障全州688个视联网点位视频会议系统的建设及安全稳定运行，项目实际内容为保障全州688个视联网点位视频会议系统的建设及安全稳定运行，预算申请与《昌吉州基层党员（远程）教育站点信息化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198.90万元，我单位在预算申请中严格按照单位标准和数量进行核算，其中：单位标准为元，数量为198.90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昌吉州基层党员（远程）教育站点信息化项目资金的请示》和《昌吉州基层党员（远程）教育站点信息化项目实施方案》为依据进行资金分配，预算资金分配依据充分。根据《昌吉州财政局资金下达文件》文件显示，本项目实际到位资金198.90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118F6DC4">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646210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198.90万元，其中：本级财政安排资金198.90万元，其他资金0.00万元，实际到位资金198.90万元，资金到位率=（实际到位资金/预算资金）×100.00%=（198.90/198.90）*100.00%=100.00%。得分=资金到位率*分值=100.00%*3=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本项目实际支出资金198.90万元，预算执行率=（实际支出资金/实际到位资金）×100.00%=（198.90/198.90）*100.00%=100.00%。得分=预算执行率*分值=100.00%*5=5.00分。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党员教育中心单位资金管理办法》《昌吉州基层党员（远程）教育站点信息化项目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昌吉州基层党员（远程）教育站点信息化项目资金管理办法》《昌吉州基层党员（远程）教育站点信息化项目收支业务管理制度》《政府采购业务管理制度》《党员教育中心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昌吉州基层党员（远程）教育站点信息化项目工作领导小组，由中心主任孔森任组长，负责项目的组织工作；赵书鹏任副组长，负责项目的实施工作；组员包括：周文涛，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30FEB69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EE227F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项目产出类指标由4个二级指标和6个三级指标构成，权重分30.00分，实际得分30.00分。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“完成全州视联网视频会议建设”指标：预期指标值为“大于等于680个”，实际完成指标值为“680个”，指标完成率为100.00%。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综上所述，本指标满分为7.00分，根据评分标准得7.00分。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“州级视频会议建设”指标：预期指标值为“大于等于3个”，实际完成指标值为“3个”，指标完成率为100.00%。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“系统覆盖率”指标：预期指标值为“大于等于95%”，实际完成指标值为“99.70%”，指标完成率为100.00%。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“建设完成时限”指标：预期指标值为“2023年12月20日”，实际完成指标值为“2023年12月20日”，指标完成率为100.00%。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“预算成本控制率”指标：预期指标值为“小于等于100.00%”，实际完成指标值为“100.00%”，指标完成率为100.00%。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“项目费用支出”指标：预期指标值为“小于等于198.90万元”，实际完成指标值为“198.90万元”，指标完成率为100.00%。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综上所述，本指标满分为6.00分，根据评分标准得6.00分。</w:t>
      </w:r>
    </w:p>
    <w:p w14:paraId="6A7F71B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D1B34C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项目效益类指标由2个二级指标和3个三级指标构成，权重分30.0分，实际得分30.00分。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“信息化水平不断提升”指标：预期指标值为“提升”，实际完成指标值为“提升”，指标完成率为100.00%。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综上所述，本指标满分为10.00分，根据评分标准得10.00分。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“系统覆盖面不断提升”指标：预期指标值为“提升”，实际完成指标值为“提升”，指标完成率为100.00%。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综上所述，本指标满分为10.00分，根据评分标准得10.00分。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“受众满意度”指标：预期指标值为“大于等于95.00%”，实际完成指标值为“98.00%”，指标完成率为100.00%。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综上所述，本指标满分为10.00分，根据评分标准得10.00分。</w:t>
      </w:r>
    </w:p>
    <w:p w14:paraId="04A44F13">
      <w:pPr>
        <w:spacing w:line="540" w:lineRule="exact"/>
        <w:ind w:firstLine="567"/>
        <w:rPr>
          <w:rStyle w:val="18"/>
          <w:rFonts w:ascii="楷体" w:hAnsi="楷体" w:eastAsia="楷体"/>
          <w:spacing w:val="-4"/>
          <w:sz w:val="32"/>
          <w:szCs w:val="32"/>
        </w:rPr>
      </w:pPr>
    </w:p>
    <w:p w14:paraId="2B5BDD6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4CBD23CD">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本项目年初预算资金总额为198.90万元，全年预算数为198.90万元，全年执行数为198.90万元，预算执行率为100.00%。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本项目共设置三级指标数量9个，满分指标数量9个，扣分指标数量0个，经分析计算所有三级指标完成率得出，本项目总体完成率为100.00%。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综上所述本项目预算执行进度与绩效指标完成进度无偏差。</w:t>
      </w:r>
    </w:p>
    <w:p w14:paraId="4260984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433113A">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单位建立健全了预算管理规章制度，各部门严格按预算编制和要求做好当年预算编制工作，在预算绩效管理工作中，做到合理安排各项资金，重点保障基本支出，按轻重缓急顺序原则，优先安排了本单位事业发展中关系民生与稳定的项目，切实优化资源配置，提高了资金使用的效率和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所设定的绩效目标依据充分，绩效目标设定的绩效指标明确，预算编制具有合理性，制度建设完全，相关制度执行有效，资金到位不及时，但未影响项目进度。项目资金严格按照预算管理规定开支，项目能够按时开展，并及时完成，总体完成质量较好，达成了既定的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部门工作性质申报立项依据，做到立项依据充分，有资金管理办法且符合规范等；根据部门工作性质合理分配项目资金，做到重点突出，公平公正，资金分配和使用方向与资金管理办法相符，无散小差现象。项目资金做到使用严格执行各项财经纪律，符合规范，无截留、挪用等现象，资金使用对经济社会产生积极效益。运用绩效评价结果，改进管理、合理预算安排、根据评价结果落实修正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1.干部职工对预算绩效目标编制还不够重视。组织干部职工深入系统的学习绩效评价的力度还不够，干部职工对相关文件的学习掌握还不够深入，思想上还没有高度重视绩效评价工作。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2.制度建设还不够完善。绩效评价制度、项目建设管理制度等还没有健全完善，对绩效评价工作的自评有一定的影响。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3.定期检查机制还没有落实到位。因单位工作人员不足，没能定期对项目开展情况进行监督检查，因此对工作中发现的问题不能做到纠正。</w:t>
      </w:r>
    </w:p>
    <w:p w14:paraId="4434962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4EA810DE">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1.加强绩效目标编制培训，强化目标审核,加强预算绩效目标编制的培训学习。通过周例会、集中学习等场合，加强干部职工对预算绩效目标编制的学习。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2.结合绩效评价工作实际，继续优化完善绩效评价制度、项目建设管理制度，减少因制度不够完善带来的偏差。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3.严格履行定期检查机制，利用现有人员定期对项目进行监督检查，及时纠正工作中发现的问题。</w:t>
      </w:r>
    </w:p>
    <w:p w14:paraId="360B66D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5CD18FB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2DBBF034">
      <w:pPr>
        <w:spacing w:line="540" w:lineRule="exact"/>
        <w:ind w:firstLine="567"/>
        <w:rPr>
          <w:rStyle w:val="18"/>
          <w:rFonts w:ascii="仿宋" w:hAnsi="仿宋" w:eastAsia="仿宋"/>
          <w:b w:val="0"/>
          <w:spacing w:val="-4"/>
          <w:sz w:val="32"/>
          <w:szCs w:val="32"/>
        </w:rPr>
      </w:pPr>
    </w:p>
    <w:p w14:paraId="69824C02">
      <w:pPr>
        <w:spacing w:line="540" w:lineRule="exact"/>
        <w:ind w:firstLine="567"/>
        <w:rPr>
          <w:rStyle w:val="18"/>
          <w:rFonts w:ascii="仿宋" w:hAnsi="仿宋" w:eastAsia="仿宋"/>
          <w:b w:val="0"/>
          <w:spacing w:val="-4"/>
          <w:sz w:val="32"/>
          <w:szCs w:val="32"/>
        </w:rPr>
      </w:pPr>
    </w:p>
    <w:p w14:paraId="748B996F">
      <w:pPr>
        <w:spacing w:line="540" w:lineRule="exact"/>
        <w:ind w:firstLine="567"/>
        <w:rPr>
          <w:rStyle w:val="18"/>
          <w:rFonts w:ascii="仿宋" w:hAnsi="仿宋" w:eastAsia="仿宋"/>
          <w:b w:val="0"/>
          <w:spacing w:val="-4"/>
          <w:sz w:val="32"/>
          <w:szCs w:val="32"/>
        </w:rPr>
      </w:pPr>
    </w:p>
    <w:p w14:paraId="65D750AF">
      <w:pPr>
        <w:spacing w:line="540" w:lineRule="exact"/>
        <w:ind w:firstLine="567"/>
        <w:rPr>
          <w:rStyle w:val="18"/>
          <w:rFonts w:ascii="仿宋" w:hAnsi="仿宋" w:eastAsia="仿宋"/>
          <w:b w:val="0"/>
          <w:spacing w:val="-4"/>
          <w:sz w:val="32"/>
          <w:szCs w:val="32"/>
        </w:rPr>
      </w:pPr>
    </w:p>
    <w:p w14:paraId="77B2CB73">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EE851F-8723-4C52-8361-96ED207A7E8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0D55112-38AB-4477-9E7F-19B78D974472}"/>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6F0FA129-30D6-4FB2-812A-9C5C3A6107F0}"/>
  </w:font>
  <w:font w:name="华文中宋">
    <w:panose1 w:val="02010600040101010101"/>
    <w:charset w:val="86"/>
    <w:family w:val="auto"/>
    <w:pitch w:val="default"/>
    <w:sig w:usb0="00000287" w:usb1="080F0000" w:usb2="00000000" w:usb3="00000000" w:csb0="0004009F" w:csb1="DFD70000"/>
    <w:embedRegular r:id="rId4" w:fontKey="{120609A9-49FD-49A1-BB57-92ECA853F218}"/>
  </w:font>
  <w:font w:name="方正小标宋_GBK">
    <w:panose1 w:val="02000000000000000000"/>
    <w:charset w:val="86"/>
    <w:family w:val="script"/>
    <w:pitch w:val="default"/>
    <w:sig w:usb0="A00002BF" w:usb1="38CF7CFA" w:usb2="00082016" w:usb3="00000000" w:csb0="00040001" w:csb1="00000000"/>
    <w:embedRegular r:id="rId5" w:fontKey="{85E78469-6AC9-4FC0-87B7-453CFFFC0A68}"/>
  </w:font>
  <w:font w:name="仿宋_GB2312">
    <w:altName w:val="仿宋"/>
    <w:panose1 w:val="00000000000000000000"/>
    <w:charset w:val="86"/>
    <w:family w:val="modern"/>
    <w:pitch w:val="default"/>
    <w:sig w:usb0="00000000" w:usb1="00000000" w:usb2="00000010" w:usb3="00000000" w:csb0="00040000" w:csb1="00000000"/>
    <w:embedRegular r:id="rId6" w:fontKey="{695F5F47-44B2-46A0-9774-52C1474B0B38}"/>
  </w:font>
  <w:font w:name="楷体">
    <w:panose1 w:val="02010609060101010101"/>
    <w:charset w:val="86"/>
    <w:family w:val="modern"/>
    <w:pitch w:val="default"/>
    <w:sig w:usb0="800002BF" w:usb1="38CF7CFA" w:usb2="00000016" w:usb3="00000000" w:csb0="00040001" w:csb1="00000000"/>
    <w:embedRegular r:id="rId7" w:fontKey="{CDE025BE-B081-4F70-A2C7-F6112278D87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D4BD806">
        <w:pPr>
          <w:pStyle w:val="12"/>
          <w:jc w:val="center"/>
        </w:pPr>
        <w:r>
          <w:fldChar w:fldCharType="begin"/>
        </w:r>
        <w:r>
          <w:instrText xml:space="preserve">PAGE   \* MERGEFORMAT</w:instrText>
        </w:r>
        <w:r>
          <w:fldChar w:fldCharType="separate"/>
        </w:r>
        <w:r>
          <w:rPr>
            <w:lang w:val="zh-CN"/>
          </w:rPr>
          <w:t>2</w:t>
        </w:r>
        <w:r>
          <w:fldChar w:fldCharType="end"/>
        </w:r>
      </w:p>
    </w:sdtContent>
  </w:sdt>
  <w:p w14:paraId="562BF276">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BD5066C"/>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10076</Words>
  <Characters>10881</Characters>
  <Lines>4</Lines>
  <Paragraphs>1</Paragraphs>
  <TotalTime>2</TotalTime>
  <ScaleCrop>false</ScaleCrop>
  <LinksUpToDate>false</LinksUpToDate>
  <CharactersWithSpaces>10903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小麦啾</cp:lastModifiedBy>
  <cp:lastPrinted>2018-12-31T10:56:00Z</cp:lastPrinted>
  <dcterms:modified xsi:type="dcterms:W3CDTF">2026-08-21T09:44:17Z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C734C92AAAF24344A0E4232D8EB3359B</vt:lpwstr>
  </property>
  <property fmtid="{D5CDD505-2E9C-101B-9397-08002B2CF9AE}" pid="4" name="KSOTemplateDocerSaveRecord">
    <vt:lpwstr>eyJoZGlkIjoiZGZmMjg3MDQ2MzExNDk0OWY5M2UwNzBmOWViMDBkMGMiLCJ1c2VySWQiOiIzMjQ5NjUzODcifQ==</vt:lpwstr>
  </property>
</Properties>
</file>