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352D4A">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14:paraId="261B0A04">
      <w:pPr>
        <w:spacing w:line="540" w:lineRule="exact"/>
        <w:jc w:val="center"/>
        <w:rPr>
          <w:rFonts w:ascii="华文中宋" w:hAnsi="华文中宋" w:eastAsia="华文中宋" w:cs="宋体"/>
          <w:b/>
          <w:kern w:val="0"/>
          <w:sz w:val="52"/>
          <w:szCs w:val="52"/>
        </w:rPr>
      </w:pPr>
    </w:p>
    <w:p w14:paraId="7131F4EF">
      <w:pPr>
        <w:spacing w:line="540" w:lineRule="exact"/>
        <w:jc w:val="center"/>
        <w:rPr>
          <w:rFonts w:ascii="华文中宋" w:hAnsi="华文中宋" w:eastAsia="华文中宋" w:cs="宋体"/>
          <w:b/>
          <w:kern w:val="0"/>
          <w:sz w:val="52"/>
          <w:szCs w:val="52"/>
        </w:rPr>
      </w:pPr>
    </w:p>
    <w:p w14:paraId="2AD2DC67">
      <w:pPr>
        <w:spacing w:line="540" w:lineRule="exact"/>
        <w:jc w:val="center"/>
        <w:rPr>
          <w:rFonts w:ascii="华文中宋" w:hAnsi="华文中宋" w:eastAsia="华文中宋" w:cs="宋体"/>
          <w:b/>
          <w:kern w:val="0"/>
          <w:sz w:val="52"/>
          <w:szCs w:val="52"/>
        </w:rPr>
      </w:pPr>
    </w:p>
    <w:p w14:paraId="7DF17F54">
      <w:pPr>
        <w:spacing w:line="540" w:lineRule="exact"/>
        <w:jc w:val="center"/>
        <w:rPr>
          <w:rFonts w:ascii="华文中宋" w:hAnsi="华文中宋" w:eastAsia="华文中宋" w:cs="宋体"/>
          <w:b/>
          <w:kern w:val="0"/>
          <w:sz w:val="52"/>
          <w:szCs w:val="52"/>
        </w:rPr>
      </w:pPr>
    </w:p>
    <w:p w14:paraId="5C1D7E99">
      <w:pPr>
        <w:spacing w:line="540" w:lineRule="exact"/>
        <w:jc w:val="center"/>
        <w:rPr>
          <w:rFonts w:ascii="华文中宋" w:hAnsi="华文中宋" w:eastAsia="华文中宋" w:cs="宋体"/>
          <w:b/>
          <w:kern w:val="0"/>
          <w:sz w:val="52"/>
          <w:szCs w:val="52"/>
        </w:rPr>
      </w:pPr>
    </w:p>
    <w:p w14:paraId="482A1CF9">
      <w:pPr>
        <w:spacing w:line="540" w:lineRule="exact"/>
        <w:jc w:val="center"/>
        <w:rPr>
          <w:rFonts w:ascii="华文中宋" w:hAnsi="华文中宋" w:eastAsia="华文中宋" w:cs="宋体"/>
          <w:b/>
          <w:kern w:val="0"/>
          <w:sz w:val="52"/>
          <w:szCs w:val="52"/>
        </w:rPr>
      </w:pPr>
    </w:p>
    <w:p w14:paraId="6543B60E">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48DC9751">
      <w:pPr>
        <w:spacing w:line="540" w:lineRule="exact"/>
        <w:jc w:val="center"/>
        <w:rPr>
          <w:rFonts w:ascii="华文中宋" w:hAnsi="华文中宋" w:eastAsia="华文中宋" w:cs="宋体"/>
          <w:b/>
          <w:kern w:val="0"/>
          <w:sz w:val="52"/>
          <w:szCs w:val="52"/>
        </w:rPr>
      </w:pPr>
    </w:p>
    <w:p w14:paraId="2B54763D">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14:paraId="3AB414D2">
      <w:pPr>
        <w:spacing w:line="540" w:lineRule="exact"/>
        <w:jc w:val="center"/>
        <w:rPr>
          <w:rFonts w:hAnsi="宋体" w:eastAsia="仿宋_GB2312" w:cs="宋体"/>
          <w:kern w:val="0"/>
          <w:sz w:val="30"/>
          <w:szCs w:val="30"/>
        </w:rPr>
      </w:pPr>
    </w:p>
    <w:p w14:paraId="0BA5259F">
      <w:pPr>
        <w:spacing w:line="540" w:lineRule="exact"/>
        <w:jc w:val="center"/>
        <w:rPr>
          <w:rFonts w:hAnsi="宋体" w:eastAsia="仿宋_GB2312" w:cs="宋体"/>
          <w:kern w:val="0"/>
          <w:sz w:val="30"/>
          <w:szCs w:val="30"/>
        </w:rPr>
      </w:pPr>
    </w:p>
    <w:p w14:paraId="4821578E">
      <w:pPr>
        <w:spacing w:line="540" w:lineRule="exact"/>
        <w:jc w:val="center"/>
        <w:rPr>
          <w:rFonts w:hAnsi="宋体" w:eastAsia="仿宋_GB2312" w:cs="宋体"/>
          <w:kern w:val="0"/>
          <w:sz w:val="30"/>
          <w:szCs w:val="30"/>
        </w:rPr>
      </w:pPr>
    </w:p>
    <w:p w14:paraId="4EA50444">
      <w:pPr>
        <w:spacing w:line="540" w:lineRule="exact"/>
        <w:jc w:val="center"/>
        <w:rPr>
          <w:rFonts w:hAnsi="宋体" w:eastAsia="仿宋_GB2312" w:cs="宋体"/>
          <w:kern w:val="0"/>
          <w:sz w:val="30"/>
          <w:szCs w:val="30"/>
        </w:rPr>
      </w:pPr>
    </w:p>
    <w:p w14:paraId="36C54C05">
      <w:pPr>
        <w:spacing w:line="540" w:lineRule="exact"/>
        <w:jc w:val="center"/>
        <w:rPr>
          <w:rFonts w:hAnsi="宋体" w:eastAsia="仿宋_GB2312" w:cs="宋体"/>
          <w:kern w:val="0"/>
          <w:sz w:val="30"/>
          <w:szCs w:val="30"/>
        </w:rPr>
      </w:pPr>
    </w:p>
    <w:p w14:paraId="625DB5C1">
      <w:pPr>
        <w:spacing w:line="540" w:lineRule="exact"/>
        <w:jc w:val="center"/>
        <w:rPr>
          <w:rFonts w:hAnsi="宋体" w:eastAsia="仿宋_GB2312" w:cs="宋体"/>
          <w:kern w:val="0"/>
          <w:sz w:val="30"/>
          <w:szCs w:val="30"/>
        </w:rPr>
      </w:pPr>
    </w:p>
    <w:p w14:paraId="184DE4E5">
      <w:pPr>
        <w:spacing w:line="540" w:lineRule="exact"/>
        <w:rPr>
          <w:rFonts w:hAnsi="宋体" w:eastAsia="仿宋_GB2312" w:cs="宋体"/>
          <w:kern w:val="0"/>
          <w:sz w:val="30"/>
          <w:szCs w:val="30"/>
        </w:rPr>
      </w:pPr>
    </w:p>
    <w:p w14:paraId="0FC4074C">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745B87AB">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昌吉州2023年草原植被恢复费项目</w:t>
      </w:r>
    </w:p>
    <w:p w14:paraId="02708D70">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昌吉回族自治州草原站</w:t>
      </w:r>
    </w:p>
    <w:p w14:paraId="6C863075">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昌吉回族自治州草原站</w:t>
      </w:r>
    </w:p>
    <w:p w14:paraId="6C8A21C0">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夏江</w:t>
      </w:r>
    </w:p>
    <w:p w14:paraId="55933424">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2024年05月27日</w:t>
      </w:r>
    </w:p>
    <w:p w14:paraId="7C1C668D">
      <w:pPr>
        <w:spacing w:line="700" w:lineRule="exact"/>
        <w:ind w:firstLine="708" w:firstLineChars="236"/>
        <w:jc w:val="left"/>
        <w:rPr>
          <w:rFonts w:hAnsi="宋体" w:eastAsia="仿宋_GB2312" w:cs="宋体"/>
          <w:kern w:val="0"/>
          <w:sz w:val="30"/>
          <w:szCs w:val="30"/>
        </w:rPr>
      </w:pPr>
    </w:p>
    <w:p w14:paraId="5C1A6D80">
      <w:pPr>
        <w:spacing w:line="540" w:lineRule="exact"/>
        <w:rPr>
          <w:rStyle w:val="18"/>
          <w:rFonts w:ascii="黑体" w:hAnsi="黑体" w:eastAsia="黑体"/>
          <w:b w:val="0"/>
          <w:spacing w:val="-4"/>
          <w:sz w:val="32"/>
          <w:szCs w:val="32"/>
        </w:rPr>
      </w:pPr>
    </w:p>
    <w:p w14:paraId="0FB76CF6">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02F2F71B">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2D1E8E4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关于下达2023年自治区林草专项资金任务的通知》（新林规字〔2023〕9号）《关于提前下达2023年自治区财政林草专项资金的通知》（昌州财建〔2022〕131号）文件要求，加强草原资源和生态环境保护，了解和掌握草原植被、有害生物、生产力等状况，保护和恢复草原植被，实现草原资源合理利用的基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（1）项目名称：昌吉州2023年草原植被恢复费项目（以下简称“该项目”或“项目”）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在全州5个县草原有害生物普查。完成全州263个草原生态样地开展调查。完成禁牧和草畜平衡管理、草原返青期、生长盛期、枯黄期三期监测和有害生物常规监测。县级形成执法监管、禁牧和草畜平衡管理、草原资源监测、有害生物防治综合报告；形成2023年执法监管专项报告、禁牧和草畜平衡管理专项报告、草原资源监测专项报告、有害生物防治专项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实施主体：昌吉州林业和草原技术推广中心。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实施时间：本项目实施周期为2023年1月-2023年12月。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实施情况：自治区林业和草原局于2023年1月16日下达任务，2023年3月公开政府采购意向，2023年6月13日完成公开招投标，2023年11月完成昌吉州2023年植被恢复费项目验收，</w:t>
      </w:r>
      <w:r>
        <w:rPr>
          <w:rStyle w:val="18"/>
          <w:rFonts w:hint="eastAsia" w:ascii="楷体" w:hAnsi="楷体" w:eastAsia="楷体"/>
          <w:b w:val="0"/>
          <w:bCs w:val="0"/>
          <w:spacing w:val="-4"/>
          <w:sz w:val="32"/>
          <w:szCs w:val="32"/>
          <w:lang w:eastAsia="zh-CN"/>
        </w:rPr>
        <w:t>截至2023年</w:t>
      </w:r>
      <w:r>
        <w:rPr>
          <w:rStyle w:val="18"/>
          <w:rFonts w:hint="eastAsia" w:ascii="楷体" w:hAnsi="楷体" w:eastAsia="楷体"/>
          <w:b w:val="0"/>
          <w:bCs w:val="0"/>
          <w:spacing w:val="-4"/>
          <w:sz w:val="32"/>
          <w:szCs w:val="32"/>
        </w:rPr>
        <w:t>12月已全部完成，通过本项目的实施，及时、准确掌握草原面积、植被、生产力、有害生物等动态变化情况，为指导农牧民做好草原保护建设和利用工作提供科学依据。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贯彻执行党和国家、自治区关于林业和草原工作的方针政策、法律法规。承担林业和草原先进技术和科技成果的推广、示范及应用等工作。组织实施全州草原保护、建设、利用等中长期规划及基本草原保护规划；开展全州草原基本状况动态检测工作；收集、整理、保存、利用林业和草原种质资源、标本。承担林产品生产过程中的质量安全监测和强制性检验以及投入品使用的监测工作；负责牧草种子质量检验工作。承担林业和草原技术咨询服务、试验示范和技术推广工程项目的规划、技术鉴定等工作；组织实施林业和草原推广项目和技术推广活功。承担天然草原虫鼠害、毒害草的测报工防治及技术推广工作。承担科教管理、专业技术人员培训等正作。完成自治州林业和草原局交办的其他饪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昌吉州林业和草原技术推广中心有6个科室，分别是：办公室，技术推广科，生态监测科，项目建设科，草原有害生物防治科，科教管理科。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本项目预算安排总额为309.00万元，资金来源为自治区财政林草专项资金，其中：财政资金309.00万元，其他资金0.00万元，2023年实际收到预算资金309.00万元，预算资金到位率为100.00%。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截至2023年12月31日，本项目实际支付资金288.59万元，预算执行率93.39%。本项目资金主要用于支付2023年草原植被恢复费项目费用288.59万元。</w:t>
      </w:r>
    </w:p>
    <w:p w14:paraId="664B2DBC">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1BB21F3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开展草原有害生物普查。2、开展草原生态样地调查。3、开展禁牧和草畜平衡管理、草原资源和有害生物常规监测。4、形成2023年草原有害生物防治报告、草原资源监测报告、禁牧和草畜平衡监管报告及其他有关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“草原生态样地监测调查”指标，预期指标值为“263个”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“草原有害生物普查县”指标，预期指标值为“5个”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“禁牧和草畜平衡管理县”指标，预期指标值为“7个”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“草原资源和有害生物常规监测县”指标，预期指标值为“7个”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“工作质量达标率”指标，预期指标值为“大于等于90.00%”；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“年度项目完成率”指标，预期指标值为“100.00%”；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“预算成本执行率”指标，预期指标值为“小于等于100.00%”；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“生态服务效益发挥”指标，预期指标值为“明显”；</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“群众满意度”指标，预期指标值为“大于等于90.00%”。</w:t>
      </w:r>
    </w:p>
    <w:p w14:paraId="170B6757">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51F9ED6D">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22CF8C9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本单位总结经验、发现问题、改进工作，旨在评价本项目前期审批、实施过程及实施效果，促进预算管理不断完善，加快绩效目标的实现，保证财政资金有效、合理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此次我单位根据《财政支出绩效评价管理暂行办法》（财预〔2020〕10号）文件要求实施评价工作，本次评价对象为昌吉州2023年草原植被恢复费项目，评价核心为项目资金、项目产出、项目效益。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(5)《关于下达2023年自治区林草专项资金任务的通知》（新林规字〔2023〕9号）；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(6)《关于提前下达2023年自治区财政林草专项资金的通知》（昌州财建〔2022〕131号）；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(7)《关于进一步推进草原有害生物普查工作的通知》（新林草字〔2023〕53号）。</w:t>
      </w:r>
    </w:p>
    <w:p w14:paraId="4256FD18">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2D4A75A3">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4个，包括：决策指标（21.0%）、过程指标（19.0%）、产出指标（30.0%）、效益指标（30.0%）四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比较法、公众评判法以及文献法对项目进行评价，旨在通过综合分析影响绩效目标实现、实施效果的内外部因素，从而评价本项目绩效。三级指标分析环节：总体采用比较法，同时辅以文献法</w:t>
      </w:r>
      <w:r>
        <w:rPr>
          <w:rStyle w:val="18"/>
          <w:rFonts w:hint="eastAsia" w:ascii="楷体" w:hAnsi="楷体" w:eastAsia="楷体"/>
          <w:b w:val="0"/>
          <w:bCs w:val="0"/>
          <w:spacing w:val="-4"/>
          <w:sz w:val="32"/>
          <w:szCs w:val="32"/>
          <w:lang w:eastAsia="zh-CN"/>
        </w:rPr>
        <w:t>以及</w:t>
      </w:r>
      <w:r>
        <w:rPr>
          <w:rStyle w:val="18"/>
          <w:rFonts w:hint="eastAsia" w:ascii="楷体" w:hAnsi="楷体" w:eastAsia="楷体"/>
          <w:b w:val="0"/>
          <w:bCs w:val="0"/>
          <w:spacing w:val="-4"/>
          <w:sz w:val="32"/>
          <w:szCs w:val="32"/>
        </w:rPr>
        <w:t>公众评判法。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6C6290D9">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545EC16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2024年3月14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马生强（评价小组组长）：主要负责项目策划和监督，全面负责项目绩效评价办稿的最终质量，对评估人员出具的最终报告质量进行复核，确保评估结果的客观性；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周建会（评价小组组员）：主要负责资料的收集，取证、数据统计分析；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陈军纪（评价小组组员）：主要负责主要负责项目报告的制定，指标的研判，数据分析及报告撰写。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2024年3月15日-3月20日，评价工作进入实施阶段。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经调研了解，该项目主要受益群体包括各县市群众。我们根据绩效评价目标和绩效指标体系，设计满意度调查问卷进行问卷调查，其中群众受益对象共选取样本35人，共发放问卷35份，最终收回35份。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2024年3月21日-3月29日，评价小组按照绩效评价的原则和规范，对取得的资料进行审查核实，对采集的数据进行分析，按照绩效评价指标评分表逐项进行打分、分析、汇总各方评价结果。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2024年3月30-4月12日，评价小组撰写绩效评价报告，按照新疆维吾尔自治区财政绩效管理信息系统绩效评价模块中统一格式和文本框架撰写绩效评价报告并提交审核。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060E3B00">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5A49340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本项目达成年初设立的绩效目标，在实施过程中取得了良好的成效，具体表现在：通过项目的实施，完成了全州5个县草原有害生物普查。完成全州263个草原生态样地开展调查。完成禁牧和草畜平衡管理、草原返青期、生长盛期、枯黄期三期监测和有害生物常规监测。形成2023年执法监管专项报告、禁牧和草畜平衡管理专项报告、草原资源监测专项报告、有害生物防治专项报告产出目标，发挥了明显的生态服务效益。但在实施过程中也存在一些不足：项目实施人员水平不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20个，实现三级指标数量19个，总体完成率为95.00%。最终评分结果：总分为99.67分，绩效评级为“优”。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过程管理类指标共设置5个，满分指标4个，得分率98.26%；</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项目产出类指标共设置7个，满分指标7个，得分率100.00%；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项目效益类指标共设置2个，满分指标2个，得分率100.00%。</w:t>
      </w:r>
    </w:p>
    <w:p w14:paraId="6566E315">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4FE761D1">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278276F3">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昌吉回族自治州林业草原保护发展“十四五”规划》中：“配合自治区开展退化草原专项调查，摸清退化草原分布、面积、等级，探索符合实际的退化草原修复治理模式。在春季返青期和秋季结实期，建立管控制度，严格实行季节性休牧”内容，符合行业发展规划和政策要求；本项目立项符合《昌吉州林业和草原技术推广中心配置内设机构和人员编制规定》中职责范围中的“开展全州草原基本状况动态检测工作；承担天然草原虫鼠害、毒害草的测报工防治及技术推广工作”，属于我单位履职所需；根据《财政资金直接支付申请书》，本项目资金性质为“公共财政预算”功能分类为“2130299”经济分类为“项目支出”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不涉及发改立项批复流程，由我单位自行编制项目实施方案和项目预算申请计划，经过与党委会研究确定最终预算方案。经查看，该项目申请设立过程产生的相关文件，符合相关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属于专项资金安排项目，不涉及事前绩效评估、可行性研究以及风险评估，由我单位严格按照《关于下达2023年自治区林草专项资金任务的通知》（新林规字〔2023〕9号）文件要求实施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1、开展草原有害生物普查。2、开展草原生态样地调查。3、开展禁牧和草畜平衡管理、草原资源和有害生物常规监测。4、形成2023年草原有害生物防治报告、草原资源监测报告、禁牧和草畜平衡监管报告及其他有关报告”；本项目实际工作内容为：在全州5个县草原有害生物普查。完成全州263个草原生态样地开展调查。完成禁牧和草畜平衡管理、草原返青期、生长盛期、枯黄期三期监测和有害生物常规监测。形成2023年执法监管专项报告、禁牧和草畜平衡管理专项报告、草原资源监测专项报告、有害生物防治专项报告；绩效目标与实际工作内容一致，两者具有相关性;本项目按照绩效目标完成了数量指标、质量指标、时效指标、成本指标，有效保障了生态效益发挥，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4个，二级指标6个，三级指标9个，定量指标8个，定性指标1个，指标量化率为88.89%，量化率达70.00%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本项目预算编制通过往年支出情况得出，即预算编制较科学且经过论证；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草原生态样地监测调查、草原有害生物普查、禁牧和草畜平衡管理、草原资源和有害生物常规监测，项目实际内容为草原生态样地监测调查、草原有害生物普查、禁牧和草畜平衡管理、草原资源和有害生物常规监测，预算申请与《昌吉州2023年草原植被恢复费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309.00万元，我单位在预算申请中严格按照单位标准和数量进行核算，其中：草原生态样地调查129.00万元，草原有害生物普查160.00万元，禁牧和草畜平衡管理10.00万元，草原资源和有害生物常规监测10.00万元。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提前下达2023年自治区财政林草专项资金的通知》（昌州财建〔2022〕131号）和《昌吉州2023年草原植被恢复费项目实施方案》为依据进行资金分配，预算资金分配依据充分。《关于提前下达2023年自治区财政林草专项资金的通知》（昌州财建〔2022〕131号）文件显示，本项目实际到位资金309.00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317B120B">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4184BB7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项目过程管理类指标由2个二级指标和5个三级指标构成，权重分19.00分，实际得分18.67分。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本项目预算资金为309.00万元，其中：本级财政安排资金309.00万元，其他资金0.00万元，实际到位资金309.00万元，资金到位率100.00%。得分4.00分。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本项目实际支出资金288.59万元，预算执行率93.39%。得分4.67分。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综上所述，本指标满分为5.00分，根据评分标准得4.67分，本项目资金分配合理。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昌吉州林业和草原技术推广中心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昌吉州林业和草原技术推广中心财务管理制度》《昌吉州林业和草原技术推广中心固定资产管理制度》《昌吉州林业和草原技术推广中心物资采购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昌吉州2023年草原植被恢复费项目工作领导小组，由党支部书记马生强任组长，负责项目的组织工作；夏江任副组长，负责项目的实施工作；组员包括：周建会和田伟涛，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综上所述，本指标满分为4.00分，根据评分标准得4.00分，本项目所建立制度执行有效。</w:t>
      </w:r>
    </w:p>
    <w:p w14:paraId="696A0953">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16307C5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项目产出类指标由4个二级指标和7个三级指标构成，权重分30.00分，实际得分30.00分。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“草原生态样地监测调查”指标：预期指标值为“263个”，实际完成指标值为“263个”，指标完成率为100.00%。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“草原有害生物普查县”指标：预期指标值为“5个”，实际完成指标值为“5个”，指标完成率为100.00%。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“禁牧和草畜平衡管理县”指标：预期指标值为“7个”，实际完成指标值为“7个”，指标完成率为100.00%。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“草原资源和有害生物常规监测县”指标：预期指标值为“7个”，实际完成指标值为“7个”，指标完成率为100.00%。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综上所述，本指标满分为16分，根据评分标准得16分。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“工作质量达标率”指标：预期指标值为“大于等于90.00%”，实际完成指标值为“90.00%”，指标完成率为100.00%。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“年度项目完成率”指标：预期指标值为“100.00%”，实际完成指标值为“100.00%”，指标完成率为100.00%。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综上所述，本指标满分为3分，根据评分标准得3分。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“预算成本执行率”指标，预期指标值为“小于等于100.00%”，实际完成指标值为“93.39%”，指标完成率为100.00%。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综上所述，本指标满分为6分，根据评分标准得6分。</w:t>
      </w:r>
    </w:p>
    <w:p w14:paraId="4FFD0D32">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281E116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项目效益类指标由2个二级指标和2个三级指标构成，权重分30.00分，实际得分30.00分。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“生态服务效益发挥”指标：预期指标值为“明显”，实际完成指标值为“基本达成目标”，指标完成率为100.00%。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综上所述，本指标满分为20.00分，根据评分标准得20.00分。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“群众满意度”指标：预期指标值为“大于等于90.00%”，实际完成指标值为“100.00%”，指标完成率为100.00%。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综上所述，本指标满分为10.00分，根据评分标准得10.00分。</w:t>
      </w:r>
    </w:p>
    <w:p w14:paraId="31CCA26D">
      <w:pPr>
        <w:spacing w:line="540" w:lineRule="exact"/>
        <w:ind w:firstLine="567"/>
        <w:rPr>
          <w:rStyle w:val="18"/>
          <w:rFonts w:ascii="楷体" w:hAnsi="楷体" w:eastAsia="楷体"/>
          <w:spacing w:val="-4"/>
          <w:sz w:val="32"/>
          <w:szCs w:val="32"/>
        </w:rPr>
      </w:pPr>
    </w:p>
    <w:p w14:paraId="2E09D38F">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14:paraId="6EC087F4">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本项目年初预算资金总额为309.00万元，全年预算数为309.00万元，全年执行数为288.59万元，预算执行率93.39%。</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本项目共设置三级指标数量20个，满分指标数量19个，扣分指标数量1个，经分析计算所有三级指标完成率得出，本项目总体完成率为95.00%。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综上所述本项目预算执行进度与总体完成进度之间的偏差为1.61%。主要原因是：项目资金尾款未支付。</w:t>
      </w:r>
    </w:p>
    <w:p w14:paraId="285BD930">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4891955A">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项目实行目标管理制和考核制，建设单位应把任务、质量、进度落实到人，加强项目管理和组织实施，确保项目保质保量如期完成。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根据《中华人民共和国招标投标法》和《新疆维吾尔自治区工程建设项目招标范围和规格标准》，遵循公开、公平、公正、诚信、独立和接受行政监督原则，对项目工程建设实行招投标。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实施主体签订合同，要求实施主体必须按照项目技术指标实施项目，明确实施主体的责任，工程质量与资金的关联，确保项目符合技术规范完成。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对所有的项目地区进行初步验收，发现不合理的、不合格的、不规范的等一系列不符合专业技术规范的行为进行责令改正，重点针对各种问题进行记录，再进行最终验收，主要针对前期验收的问题进行复查和随机抽查，确保项目符合技术规范顺利进行。</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建设资金应依据国家基本建设财务管理制度，严格按照批复的建设内容及投资计划执行，实行资金专管专用，专户管理、专款专用，独立核算。严禁以任何方式挪用、挤占和截留项目建设资金，实行专项管理和报账制度，严格审批报销单据。加强项目资金监管，使项目资金发挥最大效益，确保项目建设的正常运行。</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资金支付较慢。项目实施人员能力不足。项目实施中未把资金支付与项目建设任务和质量结合起来，对项目资金支付和建设任务未做详细计划和安排，对于项目资金支付掌握不足，未按照项目建设实际需求定时定点开展资金支付。对项目绩效管理认识不够。</w:t>
      </w:r>
    </w:p>
    <w:p w14:paraId="72CE9DDA">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14:paraId="6043FEE0">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由于项目执行行业特点明显，专业化程度较高，技术要求较严，因此要提高队伍素质，项目实施人员要严格按照《中华人民共和国预算法》《中共中央国务院关于全面实施预算绩效管理的意见》（中发〔2018〕34号）、自治区财政厅《自治区财政支出绩效评价管理暂行办法》（新财预〔2018〕189号）、《项目支出绩效评价管理办法》（财预〔2020〕10号）等要求，加强绩效管理学习和培训。</w:t>
      </w:r>
    </w:p>
    <w:p w14:paraId="415B37B3">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14:paraId="5FBD5CF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p>
    <w:p w14:paraId="2328B50C">
      <w:pPr>
        <w:spacing w:line="540" w:lineRule="exact"/>
        <w:ind w:firstLine="567"/>
        <w:rPr>
          <w:rStyle w:val="18"/>
          <w:rFonts w:ascii="仿宋" w:hAnsi="仿宋" w:eastAsia="仿宋"/>
          <w:b w:val="0"/>
          <w:spacing w:val="-4"/>
          <w:sz w:val="32"/>
          <w:szCs w:val="32"/>
        </w:rPr>
      </w:pPr>
    </w:p>
    <w:p w14:paraId="4C946C04">
      <w:pPr>
        <w:spacing w:line="540" w:lineRule="exact"/>
        <w:ind w:firstLine="567"/>
        <w:rPr>
          <w:rStyle w:val="18"/>
          <w:rFonts w:ascii="仿宋" w:hAnsi="仿宋" w:eastAsia="仿宋"/>
          <w:b w:val="0"/>
          <w:spacing w:val="-4"/>
          <w:sz w:val="32"/>
          <w:szCs w:val="32"/>
        </w:rPr>
      </w:pPr>
    </w:p>
    <w:p w14:paraId="4731A97E">
      <w:pPr>
        <w:spacing w:line="540" w:lineRule="exact"/>
        <w:ind w:firstLine="567"/>
        <w:rPr>
          <w:rStyle w:val="18"/>
          <w:rFonts w:ascii="仿宋" w:hAnsi="仿宋" w:eastAsia="仿宋"/>
          <w:b w:val="0"/>
          <w:spacing w:val="-4"/>
          <w:sz w:val="32"/>
          <w:szCs w:val="32"/>
        </w:rPr>
      </w:pPr>
    </w:p>
    <w:p w14:paraId="7DA50C07">
      <w:pPr>
        <w:spacing w:line="540" w:lineRule="exact"/>
        <w:ind w:firstLine="567"/>
        <w:rPr>
          <w:rStyle w:val="18"/>
          <w:rFonts w:ascii="仿宋" w:hAnsi="仿宋" w:eastAsia="仿宋"/>
          <w:b w:val="0"/>
          <w:spacing w:val="-4"/>
          <w:sz w:val="32"/>
          <w:szCs w:val="32"/>
        </w:rPr>
      </w:pPr>
    </w:p>
    <w:p w14:paraId="7FD5CB49">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1388EC0-5844-444C-8CC3-3342EDEB202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5FBF3122-3EB0-4515-8935-6598DC75DF5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3" w:fontKey="{453999E0-9D8B-40D3-88E3-3546568457D6}"/>
  </w:font>
  <w:font w:name="华文中宋">
    <w:panose1 w:val="02010600040101010101"/>
    <w:charset w:val="86"/>
    <w:family w:val="auto"/>
    <w:pitch w:val="default"/>
    <w:sig w:usb0="00000287" w:usb1="080F0000" w:usb2="00000000" w:usb3="00000000" w:csb0="0004009F" w:csb1="DFD70000"/>
    <w:embedRegular r:id="rId4" w:fontKey="{50865541-7918-4E0B-87AC-DB580F3540B2}"/>
  </w:font>
  <w:font w:name="方正小标宋_GBK">
    <w:panose1 w:val="02000000000000000000"/>
    <w:charset w:val="86"/>
    <w:family w:val="script"/>
    <w:pitch w:val="default"/>
    <w:sig w:usb0="A00002BF" w:usb1="38CF7CFA" w:usb2="00082016" w:usb3="00000000" w:csb0="00040001" w:csb1="00000000"/>
    <w:embedRegular r:id="rId5" w:fontKey="{A38510FC-1CC4-417F-A483-CF3812D8FD0D}"/>
  </w:font>
  <w:font w:name="仿宋_GB2312">
    <w:altName w:val="仿宋"/>
    <w:panose1 w:val="00000000000000000000"/>
    <w:charset w:val="86"/>
    <w:family w:val="modern"/>
    <w:pitch w:val="default"/>
    <w:sig w:usb0="00000000" w:usb1="00000000" w:usb2="00000010" w:usb3="00000000" w:csb0="00040000" w:csb1="00000000"/>
    <w:embedRegular r:id="rId6" w:fontKey="{9145F028-7F9C-4757-929C-6217471B9C90}"/>
  </w:font>
  <w:font w:name="楷体">
    <w:panose1 w:val="02010609060101010101"/>
    <w:charset w:val="86"/>
    <w:family w:val="modern"/>
    <w:pitch w:val="default"/>
    <w:sig w:usb0="800002BF" w:usb1="38CF7CFA" w:usb2="00000016" w:usb3="00000000" w:csb0="00040001" w:csb1="00000000"/>
    <w:embedRegular r:id="rId7" w:fontKey="{9E6B6B27-FFE4-471F-B02E-A0E9491808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2B325C5D">
        <w:pPr>
          <w:pStyle w:val="12"/>
          <w:jc w:val="center"/>
        </w:pPr>
        <w:r>
          <w:fldChar w:fldCharType="begin"/>
        </w:r>
        <w:r>
          <w:instrText xml:space="preserve">PAGE   \* MERGEFORMAT</w:instrText>
        </w:r>
        <w:r>
          <w:fldChar w:fldCharType="separate"/>
        </w:r>
        <w:r>
          <w:rPr>
            <w:lang w:val="zh-CN"/>
          </w:rPr>
          <w:t>2</w:t>
        </w:r>
        <w:r>
          <w:fldChar w:fldCharType="end"/>
        </w:r>
      </w:p>
    </w:sdtContent>
  </w:sdt>
  <w:p w14:paraId="2539A502">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0DC3E76"/>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87072D4"/>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27</Pages>
  <Words>9734</Words>
  <Characters>10464</Characters>
  <Lines>4</Lines>
  <Paragraphs>1</Paragraphs>
  <TotalTime>2</TotalTime>
  <ScaleCrop>false</ScaleCrop>
  <LinksUpToDate>false</LinksUpToDate>
  <CharactersWithSpaces>10478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小麦啾</cp:lastModifiedBy>
  <cp:lastPrinted>2018-12-31T10:56:00Z</cp:lastPrinted>
  <dcterms:modified xsi:type="dcterms:W3CDTF">2026-08-21T03:34:52Z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C734C92AAAF24344A0E4232D8EB3359B</vt:lpwstr>
  </property>
  <property fmtid="{D5CDD505-2E9C-101B-9397-08002B2CF9AE}" pid="4" name="KSOTemplateDocerSaveRecord">
    <vt:lpwstr>eyJoZGlkIjoiZGZmMjg3MDQ2MzExNDk0OWY5M2UwNzBmOWViMDBkMGMiLCJ1c2VySWQiOiIzMjQ5NjUzODcifQ==</vt:lpwstr>
  </property>
</Properties>
</file>