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E29F22">
      <w:pPr>
        <w:spacing w:line="540" w:lineRule="exact"/>
        <w:jc w:val="left"/>
        <w:rPr>
          <w:rFonts w:hint="eastAsia"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14:paraId="20FFCCA5">
      <w:pPr>
        <w:spacing w:line="540" w:lineRule="exact"/>
        <w:jc w:val="center"/>
        <w:rPr>
          <w:rFonts w:hint="eastAsia" w:ascii="华文中宋" w:hAnsi="华文中宋" w:eastAsia="华文中宋" w:cs="宋体"/>
          <w:b/>
          <w:kern w:val="0"/>
          <w:sz w:val="52"/>
          <w:szCs w:val="52"/>
        </w:rPr>
      </w:pPr>
    </w:p>
    <w:p w14:paraId="105AA1FF">
      <w:pPr>
        <w:spacing w:line="540" w:lineRule="exact"/>
        <w:jc w:val="center"/>
        <w:rPr>
          <w:rFonts w:hint="eastAsia" w:ascii="华文中宋" w:hAnsi="华文中宋" w:eastAsia="华文中宋" w:cs="宋体"/>
          <w:b/>
          <w:kern w:val="0"/>
          <w:sz w:val="52"/>
          <w:szCs w:val="52"/>
        </w:rPr>
      </w:pPr>
    </w:p>
    <w:p w14:paraId="00057521">
      <w:pPr>
        <w:spacing w:line="540" w:lineRule="exact"/>
        <w:jc w:val="center"/>
        <w:rPr>
          <w:rFonts w:hint="eastAsia" w:ascii="华文中宋" w:hAnsi="华文中宋" w:eastAsia="华文中宋" w:cs="宋体"/>
          <w:b/>
          <w:kern w:val="0"/>
          <w:sz w:val="52"/>
          <w:szCs w:val="52"/>
        </w:rPr>
      </w:pPr>
    </w:p>
    <w:p w14:paraId="6C6B1D05">
      <w:pPr>
        <w:spacing w:line="540" w:lineRule="exact"/>
        <w:jc w:val="center"/>
        <w:rPr>
          <w:rFonts w:hint="eastAsia" w:ascii="华文中宋" w:hAnsi="华文中宋" w:eastAsia="华文中宋" w:cs="宋体"/>
          <w:b/>
          <w:kern w:val="0"/>
          <w:sz w:val="52"/>
          <w:szCs w:val="52"/>
        </w:rPr>
      </w:pPr>
    </w:p>
    <w:p w14:paraId="64454532">
      <w:pPr>
        <w:spacing w:line="540" w:lineRule="exact"/>
        <w:jc w:val="center"/>
        <w:rPr>
          <w:rFonts w:hint="eastAsia" w:ascii="华文中宋" w:hAnsi="华文中宋" w:eastAsia="华文中宋" w:cs="宋体"/>
          <w:b/>
          <w:kern w:val="0"/>
          <w:sz w:val="52"/>
          <w:szCs w:val="52"/>
        </w:rPr>
      </w:pPr>
    </w:p>
    <w:p w14:paraId="507C8B05">
      <w:pPr>
        <w:spacing w:line="540" w:lineRule="exact"/>
        <w:jc w:val="center"/>
        <w:rPr>
          <w:rFonts w:hint="eastAsia" w:ascii="华文中宋" w:hAnsi="华文中宋" w:eastAsia="华文中宋" w:cs="宋体"/>
          <w:b/>
          <w:kern w:val="0"/>
          <w:sz w:val="52"/>
          <w:szCs w:val="52"/>
        </w:rPr>
      </w:pPr>
    </w:p>
    <w:p w14:paraId="54EE2252">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EA78605">
      <w:pPr>
        <w:spacing w:line="540" w:lineRule="exact"/>
        <w:jc w:val="center"/>
        <w:rPr>
          <w:rFonts w:hint="eastAsia" w:ascii="华文中宋" w:hAnsi="华文中宋" w:eastAsia="华文中宋" w:cs="宋体"/>
          <w:b/>
          <w:kern w:val="0"/>
          <w:sz w:val="52"/>
          <w:szCs w:val="52"/>
        </w:rPr>
      </w:pPr>
    </w:p>
    <w:p w14:paraId="0BCD4CAE">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5E036109">
      <w:pPr>
        <w:spacing w:line="540" w:lineRule="exact"/>
        <w:jc w:val="center"/>
        <w:rPr>
          <w:rFonts w:hint="eastAsia" w:hAnsi="宋体" w:eastAsia="仿宋_GB2312" w:cs="宋体"/>
          <w:kern w:val="0"/>
          <w:sz w:val="30"/>
          <w:szCs w:val="30"/>
        </w:rPr>
      </w:pPr>
    </w:p>
    <w:p w14:paraId="42AE8E74">
      <w:pPr>
        <w:spacing w:line="540" w:lineRule="exact"/>
        <w:jc w:val="center"/>
        <w:rPr>
          <w:rFonts w:hint="eastAsia" w:hAnsi="宋体" w:eastAsia="仿宋_GB2312" w:cs="宋体"/>
          <w:kern w:val="0"/>
          <w:sz w:val="30"/>
          <w:szCs w:val="30"/>
        </w:rPr>
      </w:pPr>
    </w:p>
    <w:p w14:paraId="3D9BDF78">
      <w:pPr>
        <w:spacing w:line="540" w:lineRule="exact"/>
        <w:jc w:val="center"/>
        <w:rPr>
          <w:rFonts w:hint="eastAsia" w:hAnsi="宋体" w:eastAsia="仿宋_GB2312" w:cs="宋体"/>
          <w:kern w:val="0"/>
          <w:sz w:val="30"/>
          <w:szCs w:val="30"/>
        </w:rPr>
      </w:pPr>
    </w:p>
    <w:p w14:paraId="1FD8C494">
      <w:pPr>
        <w:spacing w:line="540" w:lineRule="exact"/>
        <w:jc w:val="center"/>
        <w:rPr>
          <w:rFonts w:hint="eastAsia" w:hAnsi="宋体" w:eastAsia="仿宋_GB2312" w:cs="宋体"/>
          <w:kern w:val="0"/>
          <w:sz w:val="30"/>
          <w:szCs w:val="30"/>
        </w:rPr>
      </w:pPr>
    </w:p>
    <w:p w14:paraId="59FA2E44">
      <w:pPr>
        <w:spacing w:line="540" w:lineRule="exact"/>
        <w:jc w:val="center"/>
        <w:rPr>
          <w:rFonts w:hint="eastAsia" w:hAnsi="宋体" w:eastAsia="仿宋_GB2312" w:cs="宋体"/>
          <w:kern w:val="0"/>
          <w:sz w:val="30"/>
          <w:szCs w:val="30"/>
        </w:rPr>
      </w:pPr>
    </w:p>
    <w:p w14:paraId="6DCDD1FF">
      <w:pPr>
        <w:spacing w:line="540" w:lineRule="exact"/>
        <w:jc w:val="center"/>
        <w:rPr>
          <w:rFonts w:hint="eastAsia" w:hAnsi="宋体" w:eastAsia="仿宋_GB2312" w:cs="宋体"/>
          <w:kern w:val="0"/>
          <w:sz w:val="30"/>
          <w:szCs w:val="30"/>
        </w:rPr>
      </w:pPr>
    </w:p>
    <w:p w14:paraId="0BFE280A">
      <w:pPr>
        <w:spacing w:line="540" w:lineRule="exact"/>
        <w:rPr>
          <w:rFonts w:hint="eastAsia" w:hAnsi="宋体" w:eastAsia="仿宋_GB2312" w:cs="宋体"/>
          <w:kern w:val="0"/>
          <w:sz w:val="30"/>
          <w:szCs w:val="30"/>
        </w:rPr>
      </w:pPr>
    </w:p>
    <w:p w14:paraId="3052B99C">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14:paraId="70A7756D">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文艺家协会工作经费</w:t>
      </w:r>
    </w:p>
    <w:p w14:paraId="6350DC0B">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昌吉回族自治州文学艺术界联合会本级</w:t>
      </w:r>
    </w:p>
    <w:p w14:paraId="30167F2B">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昌吉回族自治州文学艺术界联合会本级</w:t>
      </w:r>
    </w:p>
    <w:p w14:paraId="6A19610C">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陈亮</w:t>
      </w:r>
    </w:p>
    <w:p w14:paraId="6AACEDB0">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2024年04月21日</w:t>
      </w:r>
    </w:p>
    <w:p w14:paraId="07275B19">
      <w:pPr>
        <w:spacing w:line="700" w:lineRule="exact"/>
        <w:ind w:firstLine="708" w:firstLineChars="236"/>
        <w:jc w:val="left"/>
        <w:rPr>
          <w:rFonts w:hint="eastAsia" w:hAnsi="宋体" w:eastAsia="仿宋_GB2312" w:cs="宋体"/>
          <w:kern w:val="0"/>
          <w:sz w:val="30"/>
          <w:szCs w:val="30"/>
        </w:rPr>
      </w:pPr>
    </w:p>
    <w:p w14:paraId="0BDE7F9D">
      <w:pPr>
        <w:spacing w:line="540" w:lineRule="exact"/>
        <w:rPr>
          <w:rStyle w:val="18"/>
          <w:rFonts w:hint="eastAsia" w:ascii="黑体" w:hAnsi="黑体" w:eastAsia="黑体"/>
          <w:b w:val="0"/>
          <w:spacing w:val="-4"/>
          <w:sz w:val="32"/>
          <w:szCs w:val="32"/>
        </w:rPr>
      </w:pPr>
    </w:p>
    <w:p w14:paraId="71D25FFB">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EB917FF">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p>
    <w:p w14:paraId="0DDA5633">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办公厅、国务院办公厅印发了《“十四五”文化发展规划》，文件指出，繁荣文化文艺创作生产，坚持以人民为中心的创作导向，把创作优秀作品作为中心环节，推出更多无愧于时代、无愧于人民、无愧于民族的精品力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为贯彻上述文件精神，2023年我单位计划通过本项目的实施，开展文化活动和进基层服务活动举办丰富多彩的文化交流活动,增添了艺术享受,提升和丰富昌吉州文化活动。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（1）项目名称：文艺家协会工作经费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紧扣重要时间节点和重大主题，积极开展重大主题文艺实践活动。一是围绕党的二十大等重要时间节点，组织开展主题文艺创作，坚持弘扬和践行社会主义核心价值观，传递文艺志愿服务的正能量。一是大力弘扬“奉献、友爱、互助、进步”志愿精神，不断开展文艺志愿服务活动。持续打造志愿服务品牌项目，进一步完善文艺志愿服务组织模式，推广新时代文明实践文艺志愿服务模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实施主体：昌吉回族自治州文学艺术界联合会。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实施时间：本项目实施周期为2023年1月-2023年12月。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本项目于2023年1月开始实施，平均每两个月进行一次文艺志愿服务，由各协会共同完成；定制宣传用品及维修庭州雅集活动场地是通过政采云确定供应商，签订合同，合同完成后，由负责人进行验收，签署验收单。</w:t>
      </w:r>
      <w:r>
        <w:rPr>
          <w:rStyle w:val="18"/>
          <w:rFonts w:hint="eastAsia" w:ascii="楷体" w:hAnsi="楷体" w:eastAsia="楷体"/>
          <w:b w:val="0"/>
          <w:bCs w:val="0"/>
          <w:spacing w:val="-4"/>
          <w:sz w:val="32"/>
          <w:szCs w:val="32"/>
          <w:lang w:eastAsia="zh-CN"/>
        </w:rPr>
        <w:t>截至2023年</w:t>
      </w:r>
      <w:r>
        <w:rPr>
          <w:rStyle w:val="18"/>
          <w:rFonts w:hint="eastAsia" w:ascii="楷体" w:hAnsi="楷体" w:eastAsia="楷体"/>
          <w:b w:val="0"/>
          <w:bCs w:val="0"/>
          <w:spacing w:val="-4"/>
          <w:sz w:val="32"/>
          <w:szCs w:val="32"/>
        </w:rPr>
        <w:t>12月已全部完成，通过本项目的实施，开展文化活动和进基层服务活动举办丰富多彩的文化交流活动,增添了艺术享受,提升和丰富了昌吉州文化活动。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对各团体会员开展联络、协调、服务工作，通过组织学习、深入生活、文艺创作、理论研究、学术讨论、文艺评奖、书刊出版、人才培训、对外交流和权益保护等各项工作。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昌吉州文联单位无下属预算单位，下设3个科室，分别是：办公室、组织联络室、昌吉州书画院文艺创作研究室。</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昌吉州文联单位编制数14人，实有人数25人，其中：在职13人，增加0人；退休12人，增加0 人；离休0人，增加0人。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根据昌州财行【2023】1号文件，下达2023年文艺家协会工作经费项目资金，预算安排资金总额50.00万元，其中财政资金50.00万元、其他资金0万元，2023年实际收到预算资金50.00万元，预算资金到位率为100.00%。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截至2023年12月31日，本项目实际支付资金49.40万元，预算执行率98.80%。项目资金主要用于支付文艺志愿服务费41.58万元、宣传用品定制0.82万元、各协会活动场地维修费用7.00万元。</w:t>
      </w:r>
    </w:p>
    <w:p w14:paraId="0C299DB9">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w:t>
      </w:r>
    </w:p>
    <w:p w14:paraId="339488B7">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吉州十四五文化发展规划，积极落实第三次中央新疆工作座谈会精神，深入实施昌吉州文联“文化润疆”系列文艺创作工程，完成了文艺志愿服务6场、订制宣传用品1批。举办丰富多彩的文艺志愿服务活动,满足了各族群众对精神文化生活的需求，提高了基层文艺工作者的文艺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“文艺志愿服务”指标，预期指标值为“大于等于6场次”；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“定制宣传用品”指标，预期指标值为“大于等于1批”；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“维修协会活动场地”指标，预期指标值为“大于等于1处”；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“文艺志愿服务完成率”指标，预期指标值为“大于等于95.00%”；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“验收合格率”指标，预期指标值为“大于等于95.00%”；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“文艺活动按时完成率”指标，预期指标值为“大于等于95.00%”；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“文艺志愿服务费”指标，预期指标值为“小于等于42.00万元”；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“宣传费”指标，预期指标值为“小于等于1.00万元”；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“维修费”指标，预期指标值为“小于等于7.00万元”；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“举办丰富多彩的文艺志愿服务活动,满足各族群众对精神文化生活的需求，提高基层文艺工作者的文艺水平”指标，预期指标值为“有效提升”；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“力“乌兰牧骑”全心全意为人民大服务的，践行社会主义核心价值观”指标，预期指标值为“有效促进”；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p>
    <w:p w14:paraId="644DAB65">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12B53682">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CF8D385">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此次我单位根据《财政支出绩效评价管理暂行办法》（财预〔2020〕10号）文件要求实施评价工作，本次评价对象为文艺家协会工作经费项目，评价核心为项目资金、项目产出、项目效益。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(5)项目其他相关资料。</w:t>
      </w:r>
    </w:p>
    <w:p w14:paraId="00D77B4C">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65A1CE40">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 1.绩效评价原则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21.0%）、过程指标（19.0%）、产出指标（30.0%）、效益指标（30.0%）四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0B725D92">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3D7C73B2">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2024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罗江宁（昌吉回族自治州文学艺术界联合会党组副书记）任评价组组长，绩效评价工作职责为检查项目绩效指标完成情况、审定项目支出绩效评价结果及项目支出绩效评价报告。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韩益民（昌吉回族自治州文学艺术界联合会党组成员）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冯文武（昌吉回族自治州文学艺术界联合会干部）任评价组成员，绩效评价工作职责为做好项目支出绩效评价工作的沟通协调工作，对项目实施情况进行实地调查，编写项目支出绩效评价报告。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2024年3月7日-3月10日，评价工作进入实施阶段。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2024年3月11日-3月19日，评价小组按照绩效评价的原则和规范，对取得的资料进行审查核实，对采集的数据进行分析，按照绩效评价指标评分表逐项进行打分、分析、汇总各方评价结果。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2024年3月20-3月25日，评价小组撰写绩效评价报告，按照新疆维吾尔自治区财政绩效管理信息系统绩效评价模块中统一格式和文本框架撰写绩效评价报告并提交审核。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6A6F3C58">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486ADD27">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较大程度达成年初设立的绩效目标，在实施过程中取得了良好的成效，具体表现在：通过文艺家协会工作经费项目的实施，举办丰富多彩的文化交流活动,增添了艺术享受，提高我州文艺创作队伍专业素养的整体提升，引领州内文艺工作者的艺术创作，进一步促进我州文艺事业的繁荣。但在项目实施过程中存在项目实施进度略有滞后、支付进度与计划存在偏差及绩效目标设置不够科学等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22个，实现三级指标数量21个，总体完成率为95.45%。最终评分结果：总分为99.94分，绩效评级为“优”。综合评价结论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过程管理类指标共设置5个，满分指标4个，得分率99.68%；</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项目产出类指标共设置9个，满分指标9个，得分率100.00%；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项目效益类指标共设置2个，满分指标2个，得分率100.00%。</w:t>
      </w:r>
    </w:p>
    <w:p w14:paraId="46B2EB32">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8F5C8AF">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6820D483">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符合《“十四五”文化发展规划》中的相关内容，符合行业发展规划和政策要求；本项目立项符合《昌吉州文联单位配置内设机构和人员编制规定》中“对各团体会员开展联络、协调、服务工作，通过组织学习、深入生活、文艺创作、理论研究、学术讨论、文艺评奖、书刊出版、人才培训、对外交流和权益保护等各项工作”的职责范围，属于我单位履职所需；根据《财政资金直接支付申请书》，本项目资金性质为“公共财政预算”功能分类为“文化旅游体育与传媒支出”经济分类为“一般行政管理事务”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本项目为非基础建设类项目，属于专项资金安排项目，不涉及事前绩效评估、可行性研究以及风险评估，由我单位严格按照《“十四五”文化发展规划》文件要求实施项目。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综上所述，本指标满分为3.00分，根据评分标准得3.00分，本项目立项程序规范。2.绩效目标情况分析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根据昌吉州十四五文化发展规划，积极落实第三次中央新疆工作座谈会精神，深入实施昌吉州文联“文化润疆”系列文艺创作工程.维修协会活动场地1处，文艺志愿服务6场，订制宣传用品1批，举办丰富多彩的文艺志愿服务活动,满足各族群众对精神文化生活的需求，提高基层文艺工作者的文艺水平”；本项目实际工作内容为：完成了文艺志愿服务6场，订制宣传用品1批，举办了丰富多彩的文艺志愿服务活动,满足了各族群众对精神文化生活的需求，提高了基层文艺工作者的文艺水平；绩效目标与实际工作内容一致，两者具有相关性;本项目按照绩效目标完成了数量指标、质量指标、时效指标、成本指标，满足了各族群众对精神文化生活的需求，提高了基层文艺工作者的文艺水平，年度绩效目标完成，预期产出效益和效果符合正常的业绩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5个，三级指标11个，定量指标9个，定性指标2个，指标量化率为81.82%，量化率达70.00%以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本项目预算编制通过往年开展各项活动经费支出情况结合本年度预计开展活动场次得出，即预算编制较科学且经过论证；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预算申请内容为文艺志愿服务费，宣传费，维修费，项目实际内容为文艺志愿服务费，宣传费，维修费，预算申请与《文艺家协会工作经费项目实施方案》中涉及的项目内容匹配；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50.00万元，我单位在预算申请中严格按照单位标准和数量进行核算，其中：文艺志愿服务费42.00万元，宣传费1.00万元，维修费7.00万元。本项目预算额度测算依据充分，严格按照标准编制，预算确定资金量与实际工作任务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文艺家协会工作经费项目资金的请示》和《文艺家协会工作经费项目实施方案》为依据进行资金分配，预算资金分配依据充分。昌州财行〔2023〕1号文件显示，本项目实际到位资金50.00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4E8597DB">
      <w:pPr>
        <w:spacing w:line="540" w:lineRule="exact"/>
        <w:ind w:firstLine="567" w:firstLineChars="181"/>
        <w:rPr>
          <w:rStyle w:val="18"/>
          <w:rFonts w:hint="eastAsia"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61F8678">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项目过程管理类指标由2个二级指标和5个三级指标构成，权重分19.00分，实际得分18.94分。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本项目预算资金为50.00万元，其中：本级财政安排资金50.00万元，其他资金0.00万元，实际到位资金50.00万元，资金到位率=100.00%。得分4分。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本项目实际支出资金49.40万元，预算执行率=（实际支出资金/实际到位资金）×100.00%=98.80%。得分=4.94分。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综上所述，本指标满分为5.00分，根据评分标准得4.94分，本项目资金分配合理。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州文联资金管理办法》《州文联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州文联资金管理办法》《州文联收支业务管理制度》《州文联政府采购业务管理制度》《州文联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资金支出严格按照自治区、地区以及本单位资金管理办法执行，项目启动实施后，为了加快本项目的实施，成立了文艺家协会工作经费项目工作领导小组，由党组副书记罗江宁任组长，负责项目的组织工作；韩益民任副组长，负责项目的实施工作；组员包括：冯文武和赵建萍，主要负责项目监督管理、验收以及资金核拨等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3276A899">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D2ECAEE">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项目产出类指标由4个二级指标和9个三级指标构成，权重分30.00分，实际得分30.00分。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“文艺志愿服务”指标，预期指标值为“大于等于6场次”，实际完成6场次，指标完成率为100.00%，综上所述，本指标满分为3.00分，根据评分标准得3.00分。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“定制宣传用品”指标，预期指标值为“大于等于1批”，实际完成1批，指标完成率为100.00%，综上所述，本指标满分为3.00分，根据评分标准得3.00分。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“维修协会活动场地”指标，预期指标值为“大于等于1处”，实际完成1处，指标完成率为100.00%，综上所述，本指标满分为3.00分，根据评分标准得3.00分。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“文艺志愿服务完成率”指标，预期指标值为“大于等于95.00%”，实际完成100.00%，指标完成率为100.00%，综上所述，本指标满分为3.00分，根据评分标准得3.00分。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“验收合格率”指标，预期指标值为“大于等于95.00%”，实际完成100.00%，综上所述，指标完成率为100.00%，本指标满分为3.00分，根据评分标准得3.00分。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“文艺活动按时完成率”指标，预期指标值为“大于等于95.00%”，实际完成100.00%，指标完成率为100.00%，综上所述，本指标满分为3.00分，根据评分标准得3.00分。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“文艺志愿服务费”指标，预期指标值为“小于等于42万元”，实际完成41.58万元，指标完成率为100.00%，综上所述，本指标满分为6.00分，根据评分标准得6.00分。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“宣传费”指标，预期指标值为“小于等于1.00万元”，实际完成0.82万元，指标完成率为100.00%，综上所述，本指标满分为2.00分，根据评分标准得2.00分。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“维修费”指标，预期指标值为“小于等于7.00万元”，实际完成7.00万元，指标完成率为100.0%，综上所述，本指标满分为4.00分，根据评分标准得4.00分。</w:t>
      </w:r>
    </w:p>
    <w:p w14:paraId="572BBBAA">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43CB533B">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项目效益类指标由1个二级指标和1个三级指标构成，权重分30.00分，实际得分30.00分。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举办丰富多彩的文艺志愿服务活动,满足各族群众对精神文化生活的需求，提高基层文艺工作者的文艺水平”指标，预期指标值为“有效提升”，实际完成值为“基本达成目标”，指标完成率为100.0%，综上所述，本指标满分为15.00分，根据评分标准得15.00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力“乌兰牧骑”全心全意为人民大服务的，践行社会主义核心价值观。”指标，预期指标值为“有效促进”，实际完成值为“基本达成目标”指标完成率为100.0%，综上所述，本指标满分为15.00分，根据评分标准得15.00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p>
    <w:p w14:paraId="6A44DC8B">
      <w:pPr>
        <w:spacing w:line="540" w:lineRule="exact"/>
        <w:ind w:firstLine="567"/>
        <w:rPr>
          <w:rStyle w:val="18"/>
          <w:rFonts w:hint="eastAsia" w:ascii="楷体" w:hAnsi="楷体" w:eastAsia="楷体"/>
          <w:spacing w:val="-4"/>
          <w:sz w:val="32"/>
          <w:szCs w:val="32"/>
        </w:rPr>
      </w:pPr>
    </w:p>
    <w:p w14:paraId="6ECD9FBA">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预算执行进度与绩效指标偏差</w:t>
      </w:r>
    </w:p>
    <w:p w14:paraId="61759D9A">
      <w:pPr>
        <w:spacing w:line="540" w:lineRule="exact"/>
        <w:ind w:firstLine="567"/>
        <w:rPr>
          <w:rStyle w:val="18"/>
          <w:rFonts w:hint="eastAsia" w:ascii="黑体" w:hAnsi="黑体" w:eastAsia="黑体"/>
          <w:b w:val="0"/>
          <w:spacing w:val="-4"/>
          <w:sz w:val="32"/>
          <w:szCs w:val="32"/>
        </w:rPr>
      </w:pPr>
      <w:r>
        <w:rPr>
          <w:rStyle w:val="18"/>
          <w:rFonts w:hint="eastAsia" w:ascii="楷体" w:hAnsi="楷体" w:eastAsia="楷体"/>
          <w:b w:val="0"/>
          <w:bCs w:val="0"/>
          <w:spacing w:val="-4"/>
          <w:sz w:val="32"/>
          <w:szCs w:val="32"/>
        </w:rPr>
        <w:t>本项目年初预算资金总额为50.00万元，全年预算数为50.00万元，全年执行数为49.40万元，预算执行率为98.80%。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本项目共设置三级指标数量22个，满分指标数量21个，扣分指标数量1个，经分析计算所有三级指标完成率得出，本项目总体完成率为95.45%。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综上所述本项目预算执行进度与总体完成进度之间的偏差为3.35%。主要偏差原因是：年初根据上年支出情况编制预算，实际执行过程中控制经费支出，节约项目资金。</w:t>
      </w:r>
    </w:p>
    <w:p w14:paraId="782C00AC">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B22BD9F">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一是领导重视到位：高度重视，主要领导亲自抓，并予以充分的人力、财力保障。责任落实到位：将各项目工作列入年度干部绩效考核实施方案，将各项目工作落实到具体科室、具体岗位、具体个人。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三是健全项目管理制度。我单位已有保证项目实施的制度、措施等，如《中华人民共和国预算法》、《项目绩效管理办法》等。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1.该项目实施过程中存在项目实施进度略有滞后、支付进度与计划存在偏差。原因是艺术创作过程中存在不确定因素。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该项目绩效目标值设置不够严谨，绩效预算认识不够充分。原因是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0ED14F69">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七、有关建议</w:t>
      </w:r>
    </w:p>
    <w:p w14:paraId="0EE03009">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对该项目资金的使用和管理高度重视、精心组织，制定详细分配方案，合理安排资金；坚持应保尽保、应退尽退、精准纳保原则，不断完善工作机制，以公开促公平；加强政策宣传，提高政策知晓率，让困难群众惠及享受；加强督促检查，跟踪重点、焦点问题办理，确保项目完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加强培训，提高相关人员工作水平，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高度重视，加强领导，精心组织。项目绩效领导小组对绩效评价工作进行指导、监督、检查，确保项目绩效评价反映项目完成真实情况。严格执行项目绩效评价工作要求，切实提高项目绩效报告的客观性和公正性。</w:t>
      </w:r>
    </w:p>
    <w:p w14:paraId="499F8849">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14:paraId="083C2925">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07033501">
      <w:pPr>
        <w:spacing w:line="540" w:lineRule="exact"/>
        <w:ind w:firstLine="567"/>
        <w:rPr>
          <w:rStyle w:val="18"/>
          <w:rFonts w:hint="eastAsia" w:ascii="仿宋" w:hAnsi="仿宋" w:eastAsia="仿宋"/>
          <w:b w:val="0"/>
          <w:spacing w:val="-4"/>
          <w:sz w:val="32"/>
          <w:szCs w:val="32"/>
        </w:rPr>
      </w:pPr>
    </w:p>
    <w:p w14:paraId="2115228F">
      <w:pPr>
        <w:spacing w:line="540" w:lineRule="exact"/>
        <w:ind w:firstLine="567"/>
        <w:rPr>
          <w:rStyle w:val="18"/>
          <w:rFonts w:hint="eastAsia" w:ascii="仿宋" w:hAnsi="仿宋" w:eastAsia="仿宋"/>
          <w:b w:val="0"/>
          <w:spacing w:val="-4"/>
          <w:sz w:val="32"/>
          <w:szCs w:val="32"/>
        </w:rPr>
      </w:pPr>
    </w:p>
    <w:p w14:paraId="42DB8E75">
      <w:pPr>
        <w:spacing w:line="540" w:lineRule="exact"/>
        <w:ind w:firstLine="567"/>
        <w:rPr>
          <w:rStyle w:val="18"/>
          <w:rFonts w:hint="eastAsia" w:ascii="仿宋" w:hAnsi="仿宋" w:eastAsia="仿宋"/>
          <w:b w:val="0"/>
          <w:spacing w:val="-4"/>
          <w:sz w:val="32"/>
          <w:szCs w:val="32"/>
        </w:rPr>
      </w:pPr>
    </w:p>
    <w:p w14:paraId="7BF4F56B">
      <w:pPr>
        <w:spacing w:line="540" w:lineRule="exact"/>
        <w:ind w:firstLine="567"/>
        <w:rPr>
          <w:rStyle w:val="18"/>
          <w:rFonts w:hint="eastAsia" w:ascii="仿宋" w:hAnsi="仿宋" w:eastAsia="仿宋"/>
          <w:b w:val="0"/>
          <w:spacing w:val="-4"/>
          <w:sz w:val="32"/>
          <w:szCs w:val="32"/>
        </w:rPr>
      </w:pPr>
    </w:p>
    <w:p w14:paraId="7F77FEAE">
      <w:pPr>
        <w:spacing w:line="540" w:lineRule="exact"/>
        <w:ind w:firstLine="567"/>
        <w:rPr>
          <w:rStyle w:val="18"/>
          <w:rFonts w:hint="eastAsia"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82FEEEA-F53D-4F54-A4B6-BA4D0BD3B88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4E24B198-04EE-438E-A4F0-C2592EE94F21}"/>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6EC456CC-C4B5-485E-94C3-6E0E7FC59353}"/>
  </w:font>
  <w:font w:name="华文中宋">
    <w:panose1 w:val="02010600040101010101"/>
    <w:charset w:val="86"/>
    <w:family w:val="auto"/>
    <w:pitch w:val="default"/>
    <w:sig w:usb0="00000287" w:usb1="080F0000" w:usb2="00000000" w:usb3="00000000" w:csb0="0004009F" w:csb1="DFD70000"/>
    <w:embedRegular r:id="rId4" w:fontKey="{9ACF97DA-EB40-4D55-A043-EFA85F532E00}"/>
  </w:font>
  <w:font w:name="方正小标宋_GBK">
    <w:panose1 w:val="02000000000000000000"/>
    <w:charset w:val="86"/>
    <w:family w:val="script"/>
    <w:pitch w:val="default"/>
    <w:sig w:usb0="A00002BF" w:usb1="38CF7CFA" w:usb2="00082016" w:usb3="00000000" w:csb0="00040001" w:csb1="00000000"/>
    <w:embedRegular r:id="rId5" w:fontKey="{FEEEAE44-51C2-47A3-9A9A-B11B05004473}"/>
  </w:font>
  <w:font w:name="仿宋_GB2312">
    <w:altName w:val="仿宋"/>
    <w:panose1 w:val="02010609030101010101"/>
    <w:charset w:val="86"/>
    <w:family w:val="modern"/>
    <w:pitch w:val="default"/>
    <w:sig w:usb0="00000000" w:usb1="00000000" w:usb2="00000010" w:usb3="00000000" w:csb0="00040000" w:csb1="00000000"/>
    <w:embedRegular r:id="rId6" w:fontKey="{0A8723C2-9E70-441D-A2E9-36E0DEEAF0EC}"/>
  </w:font>
  <w:font w:name="楷体">
    <w:panose1 w:val="02010609060101010101"/>
    <w:charset w:val="86"/>
    <w:family w:val="modern"/>
    <w:pitch w:val="default"/>
    <w:sig w:usb0="800002BF" w:usb1="38CF7CFA" w:usb2="00000016" w:usb3="00000000" w:csb0="00040001" w:csb1="00000000"/>
    <w:embedRegular r:id="rId7" w:fontKey="{E60DF7BB-477F-4B30-8BD2-E44A9C06002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29CCF48">
        <w:pPr>
          <w:pStyle w:val="12"/>
          <w:jc w:val="center"/>
        </w:pPr>
        <w:r>
          <w:fldChar w:fldCharType="begin"/>
        </w:r>
        <w:r>
          <w:instrText xml:space="preserve">PAGE   \* MERGEFORMAT</w:instrText>
        </w:r>
        <w:r>
          <w:fldChar w:fldCharType="separate"/>
        </w:r>
        <w:r>
          <w:rPr>
            <w:lang w:val="zh-CN"/>
          </w:rPr>
          <w:t>2</w:t>
        </w:r>
        <w:r>
          <w:fldChar w:fldCharType="end"/>
        </w:r>
      </w:p>
    </w:sdtContent>
  </w:sdt>
  <w:p w14:paraId="24C8B834">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3219A1"/>
    <w:rsid w:val="004366A8"/>
    <w:rsid w:val="00502BA7"/>
    <w:rsid w:val="005162F1"/>
    <w:rsid w:val="00535153"/>
    <w:rsid w:val="00554F82"/>
    <w:rsid w:val="0056390D"/>
    <w:rsid w:val="005719B0"/>
    <w:rsid w:val="005720C5"/>
    <w:rsid w:val="005D10D6"/>
    <w:rsid w:val="00855E3A"/>
    <w:rsid w:val="0091457F"/>
    <w:rsid w:val="00922CB9"/>
    <w:rsid w:val="00961132"/>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04824"/>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4D786364"/>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10791</Words>
  <Characters>11460</Characters>
  <Lines>83</Lines>
  <Paragraphs>23</Paragraphs>
  <TotalTime>2</TotalTime>
  <ScaleCrop>false</ScaleCrop>
  <LinksUpToDate>false</LinksUpToDate>
  <CharactersWithSpaces>11481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小麦啾</cp:lastModifiedBy>
  <cp:lastPrinted>2018-12-31T10:56:00Z</cp:lastPrinted>
  <dcterms:modified xsi:type="dcterms:W3CDTF">2026-08-21T03:24:04Z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C734C92AAAF24344A0E4232D8EB3359B</vt:lpwstr>
  </property>
  <property fmtid="{D5CDD505-2E9C-101B-9397-08002B2CF9AE}" pid="4" name="KSOTemplateDocerSaveRecord">
    <vt:lpwstr>eyJoZGlkIjoiZGZmMjg3MDQ2MzExNDk0OWY5M2UwNzBmOWViMDBkMGMiLCJ1c2VySWQiOiIzMjQ5NjUzODcifQ==</vt:lpwstr>
  </property>
</Properties>
</file>