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5BC2F">
      <w:pPr>
        <w:spacing w:line="540" w:lineRule="exact"/>
        <w:jc w:val="left"/>
        <w:rPr>
          <w:rFonts w:ascii="仿宋" w:hAnsi="仿宋" w:eastAsia="仿宋" w:cs="宋体"/>
          <w:color w:val="auto"/>
          <w:kern w:val="0"/>
          <w:sz w:val="32"/>
          <w:szCs w:val="32"/>
        </w:rPr>
      </w:pPr>
      <w:bookmarkStart w:id="0" w:name="_GoBack"/>
      <w:bookmarkEnd w:id="0"/>
      <w:r>
        <w:rPr>
          <w:rFonts w:hint="eastAsia" w:ascii="仿宋" w:hAnsi="仿宋" w:eastAsia="仿宋" w:cs="宋体"/>
          <w:color w:val="auto"/>
          <w:kern w:val="0"/>
          <w:sz w:val="32"/>
          <w:szCs w:val="32"/>
        </w:rPr>
        <w:t>附件2：</w:t>
      </w:r>
    </w:p>
    <w:p w14:paraId="65C6F24C">
      <w:pPr>
        <w:spacing w:line="540" w:lineRule="exact"/>
        <w:jc w:val="center"/>
        <w:rPr>
          <w:rFonts w:ascii="华文中宋" w:hAnsi="华文中宋" w:eastAsia="华文中宋" w:cs="宋体"/>
          <w:b/>
          <w:color w:val="auto"/>
          <w:kern w:val="0"/>
          <w:sz w:val="52"/>
          <w:szCs w:val="52"/>
        </w:rPr>
      </w:pPr>
    </w:p>
    <w:p w14:paraId="16FF7575">
      <w:pPr>
        <w:spacing w:line="540" w:lineRule="exact"/>
        <w:jc w:val="center"/>
        <w:rPr>
          <w:rFonts w:ascii="华文中宋" w:hAnsi="华文中宋" w:eastAsia="华文中宋" w:cs="宋体"/>
          <w:b/>
          <w:color w:val="auto"/>
          <w:kern w:val="0"/>
          <w:sz w:val="52"/>
          <w:szCs w:val="52"/>
        </w:rPr>
      </w:pPr>
    </w:p>
    <w:p w14:paraId="631A1C06">
      <w:pPr>
        <w:spacing w:line="540" w:lineRule="exact"/>
        <w:jc w:val="center"/>
        <w:rPr>
          <w:rFonts w:ascii="华文中宋" w:hAnsi="华文中宋" w:eastAsia="华文中宋" w:cs="宋体"/>
          <w:b/>
          <w:color w:val="auto"/>
          <w:kern w:val="0"/>
          <w:sz w:val="52"/>
          <w:szCs w:val="52"/>
        </w:rPr>
      </w:pPr>
    </w:p>
    <w:p w14:paraId="3E4D402F">
      <w:pPr>
        <w:spacing w:line="540" w:lineRule="exact"/>
        <w:jc w:val="center"/>
        <w:rPr>
          <w:rFonts w:ascii="华文中宋" w:hAnsi="华文中宋" w:eastAsia="华文中宋" w:cs="宋体"/>
          <w:b/>
          <w:color w:val="auto"/>
          <w:kern w:val="0"/>
          <w:sz w:val="52"/>
          <w:szCs w:val="52"/>
        </w:rPr>
      </w:pPr>
    </w:p>
    <w:p w14:paraId="16536C9A">
      <w:pPr>
        <w:spacing w:line="540" w:lineRule="exact"/>
        <w:jc w:val="center"/>
        <w:rPr>
          <w:rFonts w:ascii="华文中宋" w:hAnsi="华文中宋" w:eastAsia="华文中宋" w:cs="宋体"/>
          <w:b/>
          <w:color w:val="auto"/>
          <w:kern w:val="0"/>
          <w:sz w:val="52"/>
          <w:szCs w:val="52"/>
        </w:rPr>
      </w:pPr>
    </w:p>
    <w:p w14:paraId="5FBBFA9C">
      <w:pPr>
        <w:spacing w:line="540" w:lineRule="exact"/>
        <w:jc w:val="center"/>
        <w:rPr>
          <w:rFonts w:ascii="华文中宋" w:hAnsi="华文中宋" w:eastAsia="华文中宋" w:cs="宋体"/>
          <w:b/>
          <w:color w:val="auto"/>
          <w:kern w:val="0"/>
          <w:sz w:val="52"/>
          <w:szCs w:val="52"/>
        </w:rPr>
      </w:pPr>
    </w:p>
    <w:p w14:paraId="1B949025">
      <w:pPr>
        <w:spacing w:line="540" w:lineRule="exact"/>
        <w:jc w:val="center"/>
        <w:rPr>
          <w:rFonts w:ascii="方正小标宋_GBK" w:hAnsi="华文中宋" w:eastAsia="方正小标宋_GBK" w:cs="宋体"/>
          <w:b/>
          <w:color w:val="auto"/>
          <w:kern w:val="0"/>
          <w:sz w:val="48"/>
          <w:szCs w:val="48"/>
        </w:rPr>
      </w:pPr>
      <w:r>
        <w:rPr>
          <w:rFonts w:hint="eastAsia" w:ascii="方正小标宋_GBK" w:hAnsi="华文中宋" w:eastAsia="方正小标宋_GBK" w:cs="宋体"/>
          <w:b/>
          <w:color w:val="auto"/>
          <w:kern w:val="0"/>
          <w:sz w:val="48"/>
          <w:szCs w:val="48"/>
        </w:rPr>
        <w:t>项目支出绩效自评报告</w:t>
      </w:r>
    </w:p>
    <w:p w14:paraId="354ADAC6">
      <w:pPr>
        <w:spacing w:line="540" w:lineRule="exact"/>
        <w:jc w:val="center"/>
        <w:rPr>
          <w:rFonts w:ascii="华文中宋" w:hAnsi="华文中宋" w:eastAsia="华文中宋" w:cs="宋体"/>
          <w:b/>
          <w:color w:val="auto"/>
          <w:kern w:val="0"/>
          <w:sz w:val="52"/>
          <w:szCs w:val="52"/>
        </w:rPr>
      </w:pPr>
    </w:p>
    <w:p w14:paraId="2B1326FE">
      <w:pPr>
        <w:spacing w:line="540" w:lineRule="exact"/>
        <w:jc w:val="center"/>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r>
        <w:rPr>
          <w:rStyle w:val="18"/>
          <w:rFonts w:hint="eastAsia" w:ascii="楷体" w:hAnsi="楷体" w:eastAsia="楷体"/>
          <w:color w:val="auto"/>
          <w:spacing w:val="-4"/>
          <w:sz w:val="32"/>
          <w:szCs w:val="32"/>
        </w:rPr>
        <w:t>2023</w:t>
      </w:r>
      <w:r>
        <w:rPr>
          <w:rFonts w:hint="eastAsia" w:hAnsi="宋体" w:eastAsia="仿宋_GB2312" w:cs="宋体"/>
          <w:color w:val="auto"/>
          <w:kern w:val="0"/>
          <w:sz w:val="36"/>
          <w:szCs w:val="36"/>
        </w:rPr>
        <w:t xml:space="preserve">  年度）</w:t>
      </w:r>
    </w:p>
    <w:p w14:paraId="6FB590A0">
      <w:pPr>
        <w:spacing w:line="540" w:lineRule="exact"/>
        <w:jc w:val="center"/>
        <w:rPr>
          <w:rFonts w:hAnsi="宋体" w:eastAsia="仿宋_GB2312" w:cs="宋体"/>
          <w:color w:val="auto"/>
          <w:kern w:val="0"/>
          <w:sz w:val="30"/>
          <w:szCs w:val="30"/>
        </w:rPr>
      </w:pPr>
    </w:p>
    <w:p w14:paraId="274DEF67">
      <w:pPr>
        <w:spacing w:line="540" w:lineRule="exact"/>
        <w:jc w:val="center"/>
        <w:rPr>
          <w:rFonts w:hAnsi="宋体" w:eastAsia="仿宋_GB2312" w:cs="宋体"/>
          <w:color w:val="auto"/>
          <w:kern w:val="0"/>
          <w:sz w:val="30"/>
          <w:szCs w:val="30"/>
        </w:rPr>
      </w:pPr>
    </w:p>
    <w:p w14:paraId="362A0781">
      <w:pPr>
        <w:spacing w:line="540" w:lineRule="exact"/>
        <w:jc w:val="center"/>
        <w:rPr>
          <w:rFonts w:hAnsi="宋体" w:eastAsia="仿宋_GB2312" w:cs="宋体"/>
          <w:color w:val="auto"/>
          <w:kern w:val="0"/>
          <w:sz w:val="30"/>
          <w:szCs w:val="30"/>
        </w:rPr>
      </w:pPr>
    </w:p>
    <w:p w14:paraId="53A5579F">
      <w:pPr>
        <w:spacing w:line="540" w:lineRule="exact"/>
        <w:jc w:val="center"/>
        <w:rPr>
          <w:rFonts w:hAnsi="宋体" w:eastAsia="仿宋_GB2312" w:cs="宋体"/>
          <w:color w:val="auto"/>
          <w:kern w:val="0"/>
          <w:sz w:val="30"/>
          <w:szCs w:val="30"/>
        </w:rPr>
      </w:pPr>
    </w:p>
    <w:p w14:paraId="5783825A">
      <w:pPr>
        <w:spacing w:line="540" w:lineRule="exact"/>
        <w:jc w:val="center"/>
        <w:rPr>
          <w:rFonts w:hAnsi="宋体" w:eastAsia="仿宋_GB2312" w:cs="宋体"/>
          <w:color w:val="auto"/>
          <w:kern w:val="0"/>
          <w:sz w:val="30"/>
          <w:szCs w:val="30"/>
        </w:rPr>
      </w:pPr>
    </w:p>
    <w:p w14:paraId="198BDE65">
      <w:pPr>
        <w:spacing w:line="540" w:lineRule="exact"/>
        <w:jc w:val="center"/>
        <w:rPr>
          <w:rFonts w:hAnsi="宋体" w:eastAsia="仿宋_GB2312" w:cs="宋体"/>
          <w:color w:val="auto"/>
          <w:kern w:val="0"/>
          <w:sz w:val="30"/>
          <w:szCs w:val="30"/>
        </w:rPr>
      </w:pPr>
    </w:p>
    <w:p w14:paraId="2F509FC7">
      <w:pPr>
        <w:spacing w:line="540" w:lineRule="exact"/>
        <w:rPr>
          <w:rFonts w:hAnsi="宋体" w:eastAsia="仿宋_GB2312" w:cs="宋体"/>
          <w:color w:val="auto"/>
          <w:kern w:val="0"/>
          <w:sz w:val="30"/>
          <w:szCs w:val="30"/>
        </w:rPr>
      </w:pPr>
    </w:p>
    <w:p w14:paraId="570373C0">
      <w:pPr>
        <w:spacing w:line="700" w:lineRule="exact"/>
        <w:jc w:val="left"/>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p>
    <w:p w14:paraId="0AAE2654">
      <w:pPr>
        <w:spacing w:line="700" w:lineRule="exact"/>
        <w:ind w:firstLine="900" w:firstLineChars="250"/>
        <w:jc w:val="left"/>
        <w:rPr>
          <w:rFonts w:hAnsi="宋体" w:eastAsia="仿宋_GB2312" w:cs="宋体"/>
          <w:color w:val="auto"/>
          <w:kern w:val="0"/>
          <w:sz w:val="36"/>
          <w:szCs w:val="36"/>
        </w:rPr>
      </w:pPr>
      <w:r>
        <w:rPr>
          <w:rFonts w:hint="eastAsia" w:hAnsi="宋体" w:eastAsia="仿宋_GB2312" w:cs="宋体"/>
          <w:color w:val="auto"/>
          <w:kern w:val="0"/>
          <w:sz w:val="36"/>
          <w:szCs w:val="36"/>
        </w:rPr>
        <w:t>项目名称：</w:t>
      </w:r>
      <w:r>
        <w:rPr>
          <w:rStyle w:val="18"/>
          <w:rFonts w:hint="eastAsia" w:ascii="楷体" w:hAnsi="楷体" w:eastAsia="楷体"/>
          <w:color w:val="auto"/>
          <w:spacing w:val="-4"/>
          <w:sz w:val="32"/>
          <w:szCs w:val="32"/>
        </w:rPr>
        <w:t>昌吉州应急管理局指挥中心信息化项目</w:t>
      </w:r>
    </w:p>
    <w:p w14:paraId="0C50AB83">
      <w:pPr>
        <w:spacing w:line="540" w:lineRule="exact"/>
        <w:ind w:firstLine="567"/>
        <w:rPr>
          <w:rFonts w:ascii="楷体" w:hAnsi="楷体" w:eastAsia="楷体"/>
          <w:b/>
          <w:bCs/>
          <w:color w:val="auto"/>
          <w:spacing w:val="-4"/>
          <w:sz w:val="32"/>
          <w:szCs w:val="32"/>
        </w:rPr>
      </w:pPr>
      <w:r>
        <w:rPr>
          <w:rFonts w:hint="eastAsia" w:hAnsi="宋体" w:eastAsia="仿宋_GB2312" w:cs="宋体"/>
          <w:color w:val="auto"/>
          <w:kern w:val="0"/>
          <w:sz w:val="36"/>
          <w:szCs w:val="36"/>
        </w:rPr>
        <w:t xml:space="preserve">  实施单位（公章）：</w:t>
      </w:r>
      <w:r>
        <w:rPr>
          <w:rStyle w:val="18"/>
          <w:rFonts w:hint="eastAsia" w:ascii="楷体" w:hAnsi="楷体" w:eastAsia="楷体"/>
          <w:color w:val="auto"/>
          <w:spacing w:val="-4"/>
          <w:sz w:val="28"/>
          <w:szCs w:val="28"/>
        </w:rPr>
        <w:t>昌吉回族自治州应急管理局</w:t>
      </w:r>
    </w:p>
    <w:p w14:paraId="1906F622">
      <w:pPr>
        <w:spacing w:line="540" w:lineRule="exact"/>
        <w:ind w:firstLine="900" w:firstLineChars="250"/>
        <w:rPr>
          <w:rFonts w:ascii="楷体" w:hAnsi="楷体" w:eastAsia="楷体"/>
          <w:b/>
          <w:bCs/>
          <w:color w:val="auto"/>
          <w:spacing w:val="-4"/>
          <w:sz w:val="28"/>
          <w:szCs w:val="28"/>
        </w:rPr>
      </w:pPr>
      <w:r>
        <w:rPr>
          <w:rFonts w:hint="eastAsia" w:hAnsi="宋体" w:eastAsia="仿宋_GB2312" w:cs="宋体"/>
          <w:color w:val="auto"/>
          <w:kern w:val="0"/>
          <w:sz w:val="36"/>
          <w:szCs w:val="36"/>
        </w:rPr>
        <w:t>主管部门（公章）：</w:t>
      </w:r>
      <w:r>
        <w:rPr>
          <w:rStyle w:val="18"/>
          <w:rFonts w:hint="eastAsia" w:ascii="楷体" w:hAnsi="楷体" w:eastAsia="楷体"/>
          <w:color w:val="auto"/>
          <w:spacing w:val="-4"/>
          <w:sz w:val="28"/>
          <w:szCs w:val="28"/>
        </w:rPr>
        <w:t>昌吉回族自治州应急管理局</w:t>
      </w:r>
    </w:p>
    <w:p w14:paraId="208F3AC8">
      <w:pPr>
        <w:spacing w:line="540" w:lineRule="exact"/>
        <w:ind w:firstLine="900" w:firstLineChars="250"/>
        <w:rPr>
          <w:rFonts w:ascii="楷体" w:hAnsi="楷体" w:eastAsia="楷体"/>
          <w:b/>
          <w:bCs/>
          <w:color w:val="auto"/>
          <w:spacing w:val="-4"/>
          <w:sz w:val="32"/>
          <w:szCs w:val="32"/>
        </w:rPr>
      </w:pPr>
      <w:r>
        <w:rPr>
          <w:rFonts w:hint="eastAsia" w:hAnsi="宋体" w:eastAsia="仿宋_GB2312" w:cs="宋体"/>
          <w:color w:val="auto"/>
          <w:kern w:val="0"/>
          <w:sz w:val="36"/>
          <w:szCs w:val="36"/>
        </w:rPr>
        <w:t>项目负责人（签章）：</w:t>
      </w:r>
      <w:r>
        <w:rPr>
          <w:rStyle w:val="18"/>
          <w:rFonts w:hint="eastAsia" w:ascii="楷体" w:hAnsi="楷体" w:eastAsia="楷体"/>
          <w:color w:val="auto"/>
          <w:spacing w:val="-4"/>
          <w:sz w:val="32"/>
          <w:szCs w:val="32"/>
        </w:rPr>
        <w:t>常军</w:t>
      </w:r>
    </w:p>
    <w:p w14:paraId="428AECF1">
      <w:pPr>
        <w:spacing w:line="540" w:lineRule="exact"/>
        <w:ind w:left="273" w:firstLine="567"/>
        <w:rPr>
          <w:rStyle w:val="18"/>
          <w:rFonts w:ascii="楷体" w:hAnsi="楷体" w:eastAsia="楷体"/>
          <w:color w:val="auto"/>
          <w:spacing w:val="-4"/>
          <w:sz w:val="32"/>
          <w:szCs w:val="32"/>
        </w:rPr>
      </w:pPr>
      <w:r>
        <w:rPr>
          <w:rFonts w:hint="eastAsia" w:hAnsi="宋体" w:eastAsia="仿宋_GB2312" w:cs="宋体"/>
          <w:color w:val="auto"/>
          <w:kern w:val="0"/>
          <w:sz w:val="36"/>
          <w:szCs w:val="36"/>
        </w:rPr>
        <w:t>填报时间：</w:t>
      </w:r>
      <w:r>
        <w:rPr>
          <w:rStyle w:val="18"/>
          <w:rFonts w:hint="eastAsia" w:ascii="楷体" w:hAnsi="楷体" w:eastAsia="楷体"/>
          <w:color w:val="auto"/>
          <w:spacing w:val="-4"/>
          <w:sz w:val="32"/>
          <w:szCs w:val="32"/>
        </w:rPr>
        <w:t>2024年04月01日</w:t>
      </w:r>
    </w:p>
    <w:p w14:paraId="3B5D980E">
      <w:pPr>
        <w:spacing w:line="700" w:lineRule="exact"/>
        <w:ind w:firstLine="708" w:firstLineChars="236"/>
        <w:jc w:val="left"/>
        <w:rPr>
          <w:rFonts w:hAnsi="宋体" w:eastAsia="仿宋_GB2312" w:cs="宋体"/>
          <w:color w:val="auto"/>
          <w:kern w:val="0"/>
          <w:sz w:val="30"/>
          <w:szCs w:val="30"/>
        </w:rPr>
      </w:pPr>
    </w:p>
    <w:p w14:paraId="34932BEB">
      <w:pPr>
        <w:spacing w:line="540" w:lineRule="exact"/>
        <w:rPr>
          <w:rStyle w:val="18"/>
          <w:rFonts w:ascii="黑体" w:hAnsi="黑体" w:eastAsia="黑体"/>
          <w:b w:val="0"/>
          <w:color w:val="auto"/>
          <w:spacing w:val="-4"/>
          <w:sz w:val="32"/>
          <w:szCs w:val="32"/>
        </w:rPr>
      </w:pPr>
    </w:p>
    <w:p w14:paraId="5D750308">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一、基本情况</w:t>
      </w:r>
    </w:p>
    <w:p w14:paraId="208CA709">
      <w:pPr>
        <w:spacing w:line="540" w:lineRule="exact"/>
        <w:ind w:firstLine="567"/>
        <w:rPr>
          <w:rStyle w:val="18"/>
          <w:rFonts w:hint="default" w:ascii="楷体" w:hAnsi="楷体" w:eastAsia="楷体"/>
          <w:color w:val="auto"/>
          <w:spacing w:val="-4"/>
          <w:sz w:val="32"/>
          <w:szCs w:val="32"/>
          <w:lang w:val="en-US" w:eastAsia="zh-CN"/>
        </w:rPr>
      </w:pPr>
      <w:r>
        <w:rPr>
          <w:rStyle w:val="18"/>
          <w:rFonts w:hint="eastAsia" w:ascii="楷体" w:hAnsi="楷体" w:eastAsia="楷体"/>
          <w:color w:val="auto"/>
          <w:spacing w:val="-4"/>
          <w:sz w:val="32"/>
          <w:szCs w:val="32"/>
        </w:rPr>
        <w:t>（一）项目概况</w:t>
      </w:r>
      <w:r>
        <w:rPr>
          <w:rStyle w:val="18"/>
          <w:rFonts w:hint="eastAsia" w:ascii="楷体" w:hAnsi="楷体" w:eastAsia="楷体"/>
          <w:color w:val="auto"/>
          <w:spacing w:val="-4"/>
          <w:sz w:val="32"/>
          <w:szCs w:val="32"/>
          <w:lang w:eastAsia="zh-CN"/>
        </w:rPr>
        <w:t>。</w:t>
      </w:r>
    </w:p>
    <w:p w14:paraId="7BEBF951">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一、基本情况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（一）项目概况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1.项目背景</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随着信息技术的快速发展和应用，信息化已成为提高政府工作效率、优化服务、保障公共安全的重要手段。昌吉回族自治州应急管理局作为负责应急管理工作的政府部门，面临着对突发事件快速响应、有效协调和高效处置的迫切需求。因此，推进信息化建设，提高应急管理工作的科技化、智能化水平，成为昌吉回族自治州应急管理局的重要任务。</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面临着各种安全生产风险和挑战，如煤矿安全生产、消防安全、环境保护等。为了加强对这些领域的监管和预警，提高应对突发事件的能力，昌吉回族自治州应急管理局需要建立一个集数据采集分析、事故预测预警、辅助监管监察执法等功能于一体的综合监管系统。按照《国家煤监局关于加快推进煤矿安全风险监测预警系统建设的指导意见》（煤安监办〔2019〕42 号）要求重新完善安全监控系统、人员定位系统、工业视频监控系统，开发基础信息管理系统、双重预防信息管理、风险监测预警、视频 AI 辅助监管执法等，完善煤矿安全监管体系。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为了更好地服务于社会公众和企业，昌吉回族自治州应急管理局还需要建立一个高效稳定的视频监控接入系统，实现各类重点企业视频接入，以便对企业的生产经营活动进行实时监控和监管。同时，建设一个统一的身份认证系统和370MHz窄带无线通信网络，可以提高应急管理工作的效率和安全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2.主要内容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（1）项目名称：昌吉回族自治州应急管理局指挥中心信息化项目（以下简称“该项目”或“项目”）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（2）项目主要内容：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本项目建成一个指挥中心信息化系统，包含应急指挥中心建设、应急指挥综合信息化平台及平台融合、煤矿安全综合监管子系统、370MHz 应急窄带无线网络、视频监控图像接入子系统、 昌吉云安全 App，并配备建设电梯一部。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将原有指挥中心的特殊作业实时监管平台、自治区危险化学品企业重大危险源监测预警等系统平台搬迁至新指挥中心；在六楼指挥中心和六楼视频会议室建设全彩 LED 大屏显示系统、三楼党委会议室建设智能交互屏幕、六楼视频会议室和三楼党委会议室会议扩声系统、视频会议融合、中央控制系统、全楼视频监</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 xml:space="preserve">控、3-6 楼无线网络覆盖和指挥中心装修改造等。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3.实施情况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实施主体：昌吉回族自治州应急管理局。</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实施时间：本项目实施周期为2023年12月-2024年5月。</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施情况：本项目根据《“数字昌吉”发展规划（2021-2025）》文件要求，我单位上报《关于上报&lt;昌吉州应急管理指挥中心信息化项目（一期）初步设计报告&gt;的请示》（昌州应急〔2023〕106号），经昌吉州发展和改革委员会审核，下发《昌吉州发改委关于昌吉州应急管理指挥中心信息化项目（一期）初步设计的批复》（昌州发改项目〔2023〕51号）批复文件。2023年11月18日，昌吉州应急管理指挥中心信息化项目（一期）在州政资服务中心公开招标，中标单位为中移系统集成有限公司，中标价为9879988.5元。11月25日，局党委研究审议通过了该项目合同内容。11月26日，项目正式实施。目前已完成项目合同内容的95%。昌吉州应急管理局聚焦“实用、实战”目标，应用数字化推进应急管理全方位、系统性、重塑性变革，以“看得见、喊的通、调的动”为原则，从信息化层面达到“一屏知昌吉，一屏管昌吉，平时能预警、战时能指挥”。</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4.项目实施主体</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（1）主要职能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负责应急管理工作，指导各级、各部门应对安全生产类、自然灾害类突发事件和综合防灾减灾救灾工作。负责自治州安全生产综合监督管理和工矿商贸行业安全生产监督管理工作。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组织编制应急体系建设、安全生产和综合防灾减灾规划，起草应急管理、安全生产等地方规范性文件和相关规程、地方标准并监督实施。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负责安全生产类、自然灾害类应急预案体系建设，建立完善事故灾难和自然灾害分级应对制度，组织编制总体应急预案和安全生产类、自然灾害类专项预案，综合协调应急预案衔接工作，组织开展预案演练，推动应急避难设施建设。</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牵头建立统一的应急管理信息系统，负责信息传输和共享，建立监测预警和灾情报告制度，健全自然灾害信息资源获取和共享机制，依法统一发布灾情。</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组织、指导和协调安全生产类、自然灾害类突发事件应急救援，承担自治州应对较大灾害指挥工作，综合研判突发事件发展态势并提出应对建议，协助自治州党委、自治州人民政府指定的负责同志组织较大灾害应急处置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协调指挥各类应急专业队伍，建立应急协调联动机制，推进应急指挥平台对接，提请衔接驻昌吉州部队参与应急救援工作。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统筹应急救援力量建设，负责消防、森林和草原火灾扑救、抗洪抢险、地震和地质灾害救援、生产安全事故救援专业应急救援力量建设，建设和管理指挥自治州综合性应急救援队伍，指导各级及社会应急救援力量建设。</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负责消防管理工作，指导消防监督、火灾预防、火灾扑救等工作。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立自然灾害和较大安全生产风险监测预警、会商研判和评估论证机制，指导和协调森林和草原火灾、水旱灾害、地震和地质灾害防治工作，负责自然灾害综合监测预警工作，指导开展自然灾害综合风险评估和减灾能力调查评估。</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组织协调灾害救助工作，组织和指导灾情核查、损失评估、救灾捐赠工作，管理、分配中央、自治区和自治州救灾款物并监督使用。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依法行使自治州安全生产综合监督管理职权，指导、协调和监督自治州负有安全生产监督管理职责的部门及下级政府的安全生产工作，组织开展安全生产巡查、考核工作。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按照分级、属地原则，依法监督检查工矿商贸（煤矿除外）生产经营单位贯彻执行安全生产法律法规情况及其安全生产条件和有关设备（特种设备除外）、材料、劳动防护用品的安全生产管理工作。负责监督管理工矿商贸行业安全生产工作，依法组织、指导和监督实施安全生产准入制度。负责危险化学品安全监督管理综合工作和烟花爆竹安全生产监督管理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依法组织指导生产安全事故调查处理，监督和评估事故查处和责任追究落实情况。组织开展自然灾害类突发事件的调查评估工作。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制定应急物资储备和应急救援装备规划并组织实施，会同粮食物资储备等部门建立健全应急物资信息平台和调拨制度，在救灾时统一调度。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负责应急管理、安全生产宣传教育和培训工作，组织和指导自治州应急管理、安全生产的科学技术研究、推广应用和信息化建设工作，开展应急管理方面的合作与交流。</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完成自治州党委、自治州人民政府交办的其他任务。</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职能转变。自治州应急管理局应加强、优化、统筹自治州应急能力建设，构建统一领导、权责一致、权威高效的应急能力体系，推动形成统一指挥、专常兼备、反应灵敏、上下联动、平战结合的应急管理体制。一是坚持以防为主、防抗救结合，坚持常态减灾和非常态救灾相统一，努力实现从注重灾后救助向注重灾前预防转变，从应对单一灾种向综合减灾转变，从减少灾害损失向减轻灾害风险转变，提高全州应急管理水平和防灾减灾救灾能力，防范化解重大安全风险；二是坚持以人为本，把确保人民群众生命安全放在首位，确保受灾群众基本生活，加强应急预案演练，增强全州公民防灾减灾意识，提升公众知识普及和自救互救技能，切实减少人员伤亡和财产损失；三是树立安全发展理念，坚持生命至上、安全第一，完善安全生产责任，坚决遏制重特大安全事故。</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（2）机构设置情况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州应急管理局下设州自然灾害综合监测预警中心、昌吉州矿山安全服务保障中心、昌吉州应急管理综合行政执法支队3个局属单位和办公室、综合减灾和风险监测科、应急救援和火灾管理科、危险化学品安全监督管理科、工贸安全监督管理科、安全生产综合协调科、法规科（组织人事科）、煤矿安全监督管理科、非煤矿山安全监督管理科、煤田灭火管理科等10个科室。</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5.资金投入和使用情况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（1）项目资金安排落实、总投入等情况分析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本项目预算安排总额为1398万元，资金来源为财政拨款，其中：财政资金1398万元，2023年实际收到预算资金1398万元，预算资金到位率为100%。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（2）项目资金实际使用情况分析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截至2023年12月31日，本项目实际支付资金822.32万元，预算执行率70%，结转资金575.68万元。本项目资金主要用于支付指挥中心LED全彩屏及配套设施费用150万元、指挥中心项目建设费用672.32万元。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w:t>
      </w:r>
      <w:r>
        <w:rPr>
          <w:rStyle w:val="18"/>
          <w:rFonts w:hint="eastAsia" w:ascii="楷体" w:hAnsi="楷体" w:eastAsia="楷体"/>
          <w:b w:val="0"/>
          <w:bCs w:val="0"/>
          <w:color w:val="auto"/>
          <w:spacing w:val="-4"/>
          <w:sz w:val="32"/>
          <w:szCs w:val="32"/>
        </w:rPr>
        <w:tab/>
      </w:r>
      <w:r>
        <w:rPr>
          <w:rStyle w:val="18"/>
          <w:rFonts w:hint="eastAsia" w:ascii="楷体" w:hAnsi="楷体" w:eastAsia="楷体"/>
          <w:b w:val="0"/>
          <w:bCs w:val="0"/>
          <w:color w:val="auto"/>
          <w:spacing w:val="-4"/>
          <w:sz w:val="32"/>
          <w:szCs w:val="32"/>
        </w:rPr>
        <w:t>总体目标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本项目建成一个指挥中心信息化系统，包含应急指挥中心建设、应急指挥综合信息化平台及平台融合、煤矿安全综合监管子系统、370MHz 应急窄带无线网络、视频监控图像接入子系统、 昌吉云安全 App，并配备建设电梯一部。构建一个高效、智能、可靠的应急指挥信息化系统，以提升应急管理和救援能力，保障</w:t>
      </w:r>
      <w:r>
        <w:rPr>
          <w:rStyle w:val="18"/>
          <w:rFonts w:hint="eastAsia" w:ascii="楷体" w:hAnsi="楷体" w:eastAsia="楷体"/>
          <w:b w:val="0"/>
          <w:bCs w:val="0"/>
          <w:color w:val="auto"/>
          <w:spacing w:val="-4"/>
          <w:sz w:val="32"/>
          <w:szCs w:val="32"/>
          <w:lang w:eastAsia="zh-CN"/>
        </w:rPr>
        <w:t>人民群众生命财产安全</w:t>
      </w:r>
      <w:r>
        <w:rPr>
          <w:rStyle w:val="18"/>
          <w:rFonts w:hint="eastAsia" w:ascii="楷体" w:hAnsi="楷体" w:eastAsia="楷体"/>
          <w:b w:val="0"/>
          <w:bCs w:val="0"/>
          <w:color w:val="auto"/>
          <w:spacing w:val="-4"/>
          <w:sz w:val="32"/>
          <w:szCs w:val="32"/>
        </w:rPr>
        <w:t>。</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2.阶段性目标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（1）项目产出指标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①数量指标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“建成一个指挥中心信息化系统”指标，预期指标值为“大于等于1个”；</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“建成一部电梯”指标，预期指标值为“大于等于1个”。</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②质量指标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“指挥中心使用率”指标，预期指标值为“大于等于80%”；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③时效指标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“指挥中心信息化平台完成及时率”指标，预期指标值为“大于等于95%”；</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①经济成本指标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“建成一个指挥中心信息化平台”指标，预期指标值为“小于等于1228万元”；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“建设电梯数”指标，预期指标值为“小于等于170万元”。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②社会成本指标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③生态环境成本指标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（3）项目效益指标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①经济效益指标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②社会效益指标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“提升指挥中心信息化系统，提升煤矿监管水平”指标，预期指标值为“提升”；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③生态效益指标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（4）项目满意度指标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①满意度指标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“企业满意度”指标，预期指标值为“大于等于90%。</w:t>
      </w:r>
    </w:p>
    <w:p w14:paraId="69F749F9">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（二）项目绩效目标</w:t>
      </w:r>
    </w:p>
    <w:p w14:paraId="50916C83">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w:t>
      </w:r>
      <w:r>
        <w:rPr>
          <w:rStyle w:val="18"/>
          <w:rFonts w:hint="eastAsia" w:ascii="楷体" w:hAnsi="楷体" w:eastAsia="楷体"/>
          <w:b w:val="0"/>
          <w:bCs w:val="0"/>
          <w:color w:val="auto"/>
          <w:spacing w:val="-4"/>
          <w:sz w:val="32"/>
          <w:szCs w:val="32"/>
        </w:rPr>
        <w:tab/>
      </w:r>
      <w:r>
        <w:rPr>
          <w:rStyle w:val="18"/>
          <w:rFonts w:hint="eastAsia" w:ascii="楷体" w:hAnsi="楷体" w:eastAsia="楷体"/>
          <w:b w:val="0"/>
          <w:bCs w:val="0"/>
          <w:color w:val="auto"/>
          <w:spacing w:val="-4"/>
          <w:sz w:val="32"/>
          <w:szCs w:val="32"/>
        </w:rPr>
        <w:t>总体目标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本项目建成一个指挥中心信息化系统，包含应急指挥中心建设、应急指挥综合信息化平台及平台融合、煤矿安全综合监管子系统、370MHz 应急窄带无线网络、视频监控图像接入子系统、 昌吉云安全 App，并配备建设电梯一部。构建一个高效、智能、可靠的应急指挥信息化系统，以提升应急管理和救援能力，保障</w:t>
      </w:r>
      <w:r>
        <w:rPr>
          <w:rStyle w:val="18"/>
          <w:rFonts w:hint="eastAsia" w:ascii="楷体" w:hAnsi="楷体" w:eastAsia="楷体"/>
          <w:b w:val="0"/>
          <w:bCs w:val="0"/>
          <w:color w:val="auto"/>
          <w:spacing w:val="-4"/>
          <w:sz w:val="32"/>
          <w:szCs w:val="32"/>
          <w:lang w:eastAsia="zh-CN"/>
        </w:rPr>
        <w:t>人民群众生命财产安全</w:t>
      </w:r>
      <w:r>
        <w:rPr>
          <w:rStyle w:val="18"/>
          <w:rFonts w:hint="eastAsia" w:ascii="楷体" w:hAnsi="楷体" w:eastAsia="楷体"/>
          <w:b w:val="0"/>
          <w:bCs w:val="0"/>
          <w:color w:val="auto"/>
          <w:spacing w:val="-4"/>
          <w:sz w:val="32"/>
          <w:szCs w:val="32"/>
        </w:rPr>
        <w:t>。</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2.阶段性目标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（1）项目产出指标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①数量指标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“建成一个指挥中心信息化系统”指标，预期指标值为“大于等于1个”；</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“建成一部电梯”指标，预期指标值为“大于等于1个”。</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②质量指标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“指挥中心使用率”指标，预期指标值为“大于等于80%”；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③时效指标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“指挥中心信息化平台完成及时率”指标，预期指标值为“大于等于95%”；</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①经济成本指标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“建成一个指挥中心信息化平台”指标，预期指标值为“小于等于1228万元”；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“建设电梯数”指标，预期指标值为“小于等于170万元”。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②社会成本指标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③生态环境成本指标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（3）项目效益指标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①经济效益指标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②社会效益指标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“提升指挥中心信息化系统，提升煤矿监管水平”指标，预期指标值为“提升”；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③生态效益指标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（4）项目满意度指标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①满意度指标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“企业满意度”指标，预期指标值为“大于等于90%。</w:t>
      </w:r>
    </w:p>
    <w:p w14:paraId="0C3E91FF">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二、绩效评价工作开展情况</w:t>
      </w:r>
    </w:p>
    <w:p w14:paraId="15CDCC27">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（一）绩效评价目的、对象和范围</w:t>
      </w:r>
    </w:p>
    <w:p w14:paraId="6A787ABC">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（一）绩效评价的目的、对象和范围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1.绩效评价的目的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2.绩效评价对象</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此次我单位根据《财政支出绩效评价管理暂行办法》（财预〔2020〕10号）文件要求实施评价工作，本次评价对象为昌吉回族自治州应急管理局指挥中心信息化项目，评价核心为项目资金、项目产出、项目效益。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3.绩效评价范围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4.绩效评价依据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w:t>
      </w:r>
      <w:r>
        <w:rPr>
          <w:rStyle w:val="18"/>
          <w:rFonts w:hint="eastAsia" w:ascii="楷体" w:hAnsi="楷体" w:eastAsia="楷体"/>
          <w:b w:val="0"/>
          <w:bCs w:val="0"/>
          <w:color w:val="auto"/>
          <w:spacing w:val="-4"/>
          <w:sz w:val="32"/>
          <w:szCs w:val="32"/>
        </w:rPr>
        <w:tab/>
      </w:r>
      <w:r>
        <w:rPr>
          <w:rStyle w:val="18"/>
          <w:rFonts w:hint="eastAsia" w:ascii="楷体" w:hAnsi="楷体" w:eastAsia="楷体"/>
          <w:b w:val="0"/>
          <w:bCs w:val="0"/>
          <w:color w:val="auto"/>
          <w:spacing w:val="-4"/>
          <w:sz w:val="32"/>
          <w:szCs w:val="32"/>
        </w:rPr>
        <w:t>《中华人民共和国预算法》；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w:t>
      </w:r>
      <w:r>
        <w:rPr>
          <w:rStyle w:val="18"/>
          <w:rFonts w:hint="eastAsia" w:ascii="楷体" w:hAnsi="楷体" w:eastAsia="楷体"/>
          <w:b w:val="0"/>
          <w:bCs w:val="0"/>
          <w:color w:val="auto"/>
          <w:spacing w:val="-4"/>
          <w:sz w:val="32"/>
          <w:szCs w:val="32"/>
        </w:rPr>
        <w:tab/>
      </w:r>
      <w:r>
        <w:rPr>
          <w:rStyle w:val="18"/>
          <w:rFonts w:hint="eastAsia" w:ascii="楷体" w:hAnsi="楷体" w:eastAsia="楷体"/>
          <w:b w:val="0"/>
          <w:bCs w:val="0"/>
          <w:color w:val="auto"/>
          <w:spacing w:val="-4"/>
          <w:sz w:val="32"/>
          <w:szCs w:val="32"/>
        </w:rPr>
        <w:t>《中共中央国务院关于全面实施预算绩效管理的意见》（中发〔2018〕34号）；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w:t>
      </w:r>
      <w:r>
        <w:rPr>
          <w:rStyle w:val="18"/>
          <w:rFonts w:hint="eastAsia" w:ascii="楷体" w:hAnsi="楷体" w:eastAsia="楷体"/>
          <w:b w:val="0"/>
          <w:bCs w:val="0"/>
          <w:color w:val="auto"/>
          <w:spacing w:val="-4"/>
          <w:sz w:val="32"/>
          <w:szCs w:val="32"/>
        </w:rPr>
        <w:tab/>
      </w:r>
      <w:r>
        <w:rPr>
          <w:rStyle w:val="18"/>
          <w:rFonts w:hint="eastAsia" w:ascii="楷体" w:hAnsi="楷体" w:eastAsia="楷体"/>
          <w:b w:val="0"/>
          <w:bCs w:val="0"/>
          <w:color w:val="auto"/>
          <w:spacing w:val="-4"/>
          <w:sz w:val="32"/>
          <w:szCs w:val="32"/>
        </w:rPr>
        <w:t>《项目支出绩效评价管理办法》（财预〔2020〕10号）；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w:t>
      </w:r>
      <w:r>
        <w:rPr>
          <w:rStyle w:val="18"/>
          <w:rFonts w:hint="eastAsia" w:ascii="楷体" w:hAnsi="楷体" w:eastAsia="楷体"/>
          <w:b w:val="0"/>
          <w:bCs w:val="0"/>
          <w:color w:val="auto"/>
          <w:spacing w:val="-4"/>
          <w:sz w:val="32"/>
          <w:szCs w:val="32"/>
        </w:rPr>
        <w:tab/>
      </w:r>
      <w:r>
        <w:rPr>
          <w:rStyle w:val="18"/>
          <w:rFonts w:hint="eastAsia" w:ascii="楷体" w:hAnsi="楷体" w:eastAsia="楷体"/>
          <w:b w:val="0"/>
          <w:bCs w:val="0"/>
          <w:color w:val="auto"/>
          <w:spacing w:val="-4"/>
          <w:sz w:val="32"/>
          <w:szCs w:val="32"/>
        </w:rPr>
        <w:t>《自治区财政支出绩效评价管理暂行办法》（新财预〔2018〕189号）；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w:t>
      </w:r>
      <w:r>
        <w:rPr>
          <w:rStyle w:val="18"/>
          <w:rFonts w:hint="eastAsia" w:ascii="楷体" w:hAnsi="楷体" w:eastAsia="楷体"/>
          <w:b w:val="0"/>
          <w:bCs w:val="0"/>
          <w:color w:val="auto"/>
          <w:spacing w:val="-4"/>
          <w:sz w:val="32"/>
          <w:szCs w:val="32"/>
        </w:rPr>
        <w:tab/>
      </w:r>
      <w:r>
        <w:rPr>
          <w:rStyle w:val="18"/>
          <w:rFonts w:hint="eastAsia" w:ascii="楷体" w:hAnsi="楷体" w:eastAsia="楷体"/>
          <w:b w:val="0"/>
          <w:bCs w:val="0"/>
          <w:color w:val="auto"/>
          <w:spacing w:val="-4"/>
          <w:sz w:val="32"/>
          <w:szCs w:val="32"/>
        </w:rPr>
        <w:t>项目其他相关资料。</w:t>
      </w:r>
    </w:p>
    <w:p w14:paraId="4AD641E5">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（二）绩效评价原则、评价指标体系、评价方法、评价标准</w:t>
      </w:r>
    </w:p>
    <w:p w14:paraId="7636D5C3">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（二）绩效评价原则、评价指标体系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1.绩效评价原则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（4）公开透明。绩效评价结果应依法依规公开，并自觉接受社会监督。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2.绩效评价指标体系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30.0%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3.评价方法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4.评价标准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（三）绩效评价工作过程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1.前期准备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昌吉回族自治州应急管理局局长丁志春任评价组组长，绩效评价工作职责为检查项目绩效指标完成情况、审定项目支出绩效评价结果及项目支出绩效评价报告。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昌吉回族自治州应急管理局党委委员周建成任评价组副组长，绩效评价工作职责为组织和协调项目工作人员采取实地调查、资料检查等方式，核实项目绩效指标完成情况，组织受益对象对项目工作进行评价等。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应急救援与火灾管理科科长齐荣天、会计薄晓洁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2.组织实施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2023年11月1日-11月30日，评价工作进入实施阶段。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昌吉回族自治州应急管理局局长丁志春任评价组组长，绩效评价工作职责为检查项目绩效指标完成情况、审定项目支出绩效评价结果及项目支出绩效评价报告。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昌吉回族自治州应急管理局党委委员周建成任评价组副组长，绩效评价工作职责为组织和协调项目工作人员采取实地调查、资料检查等方式，核实项目绩效指标完成情况，组织受益对象对项目工作进行评价等。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应急救援与火灾管理科科长齐荣天、会计薄晓洁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3.分析评价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2024年3月1日-3月15日，评价小组按照绩效评价的原则和规范，对取得的资料进行审查核实，对采集的数据进行分析，按照绩效评价指标评分表逐项进行打分、分析、汇总各方评价结果。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4.撰写与提交评价报告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2024年3月1-3月15日，评价小组撰写绩效评价报告，按照新疆维吾尔自治区财政绩效管理信息系统绩效评价模块中统一格式和文本框架撰写绩效评价报告并提交审核。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5.问题整改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6.档案整理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建立和落实档案管理制度，将项目相关资料存档，包括但不限于：评价项目基本情况和相关文件、评价实施方案、项目支付资料等相关档案。</w:t>
      </w:r>
    </w:p>
    <w:p w14:paraId="7FE7DA18">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（三）绩效评价工作过程</w:t>
      </w:r>
    </w:p>
    <w:p w14:paraId="389E7412">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1.前期准备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昌吉回族自治州应急管理局局长丁志春任评价组组长，绩效评价工作职责为检查项目绩效指标完成情况、审定项目支出绩效评价结果及项目支出绩效评价报告。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昌吉回族自治州应急管理局党委委员周建成任评价组副组长，绩效评价工作职责为组织和协调项目工作人员采取实地调查、资料检查等方式，核实项目绩效指标完成情况，组织受益对象对项目工作进行评价等。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应急救援与火灾管理科科长齐荣天、会计薄晓洁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2.组织实施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2023年11月1日-11月30日，评价工作进入实施阶段。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昌吉回族自治州应急管理局局长丁志春任评价组组长，绩效评价工作职责为检查项目绩效指标完成情况、审定项目支出绩效评价结果及项目支出绩效评价报告。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昌吉回族自治州应急管理局党委委员周建成任评价组副组长，绩效评价工作职责为组织和协调项目工作人员采取实地调查、资料检查等方式，核实项目绩效指标完成情况，组织受益对象对项目工作进行评价等。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应急管理局应急救援与火灾管理科科长齐荣天、会计薄晓洁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3.分析评价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2024年3月1日-3月15日，评价小组按照绩效评价的原则和规范，对取得的资料进行审查核实，对采集的数据进行分析，按照绩效评价指标评分表逐项进行打分、分析、汇总各方评价结果。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4.撰写与提交评价报告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2024年3月1-3月15日，评价小组撰写绩效评价报告，按照新疆维吾尔自治区财政绩效管理信息系统绩效评价模块中统一格式和文本框架撰写绩效评价报告并提交审核。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5.问题整改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6.档案整理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建立和落实档案管理制度，将项目相关资料存档，包括但不限于：评价项目基本情况和相关文件、评价实施方案、项目支付资料等相关档案。</w:t>
      </w:r>
    </w:p>
    <w:p w14:paraId="069F226A">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三、综合评价情况及评价结论</w:t>
      </w:r>
    </w:p>
    <w:p w14:paraId="667AED7E">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（一）综合评价情况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评价，本较大程度上达成年初设立的绩效目标，在实施过程中取得了良好的成效，具体表现在：通过项目的实施，完成了建成一个指挥中心信息化系统产出目标，发挥了提升指挥中心信息化系统，提升煤矿监管水平的效益。但在实施过程中也存在一些不足：1、项目工期进展较慢；2、绩效档案归档工作有待提高；3、项目中已完工部分验收过程存在施工瑕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（二）评价结论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此次绩效评价通过绩效评价小组论证的评价指标体系及评分标准，采用因素分析法和比较法对本项目绩效进行客观评价，本项目共设置三级指标数量19个，实现三级指标数量15个，总体完成率为87.73%。最终评分结果：总分为88.97分，绩效评级为“良”。综合评价结论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项目决策类指标共设置6个，满分指标6个，得分率100%；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过程管理类指标共设置5个，满分指标4个，得分率89.08%；</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项目产出类指标共设置6个，满分指标3个，得分率70.13%；</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项目效益类指标共设置2个，满分指标2个，得分率100%。</w:t>
      </w:r>
    </w:p>
    <w:p w14:paraId="21C37F26">
      <w:pPr>
        <w:spacing w:line="540" w:lineRule="exact"/>
        <w:ind w:firstLine="640"/>
        <w:rPr>
          <w:rStyle w:val="18"/>
          <w:rFonts w:ascii="黑体" w:hAnsi="黑体" w:eastAsia="黑体"/>
          <w:color w:val="auto"/>
        </w:rPr>
      </w:pPr>
      <w:r>
        <w:rPr>
          <w:rStyle w:val="18"/>
          <w:rFonts w:hint="eastAsia" w:ascii="黑体" w:hAnsi="黑体" w:eastAsia="黑体"/>
          <w:b w:val="0"/>
          <w:color w:val="auto"/>
          <w:spacing w:val="-4"/>
          <w:sz w:val="32"/>
          <w:szCs w:val="32"/>
        </w:rPr>
        <w:t>四、绩效评价指标分析</w:t>
      </w:r>
      <w:r>
        <w:rPr>
          <w:rStyle w:val="18"/>
          <w:rFonts w:hint="eastAsia" w:ascii="黑体" w:hAnsi="黑体" w:eastAsia="黑体"/>
          <w:color w:val="auto"/>
        </w:rPr>
        <w:t xml:space="preserve"> </w:t>
      </w:r>
    </w:p>
    <w:p w14:paraId="03F12BFA">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（一）</w:t>
      </w:r>
      <w:r>
        <w:rPr>
          <w:rStyle w:val="18"/>
          <w:rFonts w:hint="eastAsia" w:ascii="楷体" w:hAnsi="楷体" w:eastAsia="楷体"/>
          <w:color w:val="auto"/>
          <w:spacing w:val="-4"/>
          <w:sz w:val="32"/>
          <w:szCs w:val="32"/>
        </w:rPr>
        <w:t>项目决策情况</w:t>
      </w:r>
    </w:p>
    <w:p w14:paraId="73FE5294">
      <w:pPr>
        <w:tabs>
          <w:tab w:val="center" w:pos="4295"/>
        </w:tabs>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项目决策类指标由6个二级指标和8个三级指标构成，权重分90分，实际得分60分。</w:t>
      </w:r>
      <w:r>
        <w:rPr>
          <w:rStyle w:val="18"/>
          <w:rFonts w:hint="eastAsia" w:ascii="楷体" w:hAnsi="楷体" w:eastAsia="楷体"/>
          <w:b w:val="0"/>
          <w:bCs w:val="0"/>
          <w:color w:val="auto"/>
          <w:spacing w:val="-4"/>
          <w:sz w:val="32"/>
          <w:szCs w:val="32"/>
        </w:rPr>
        <w:tab/>
      </w:r>
    </w:p>
    <w:p w14:paraId="639B6D0F">
      <w:pPr>
        <w:spacing w:line="540" w:lineRule="exact"/>
        <w:ind w:firstLine="567" w:firstLineChars="181"/>
        <w:rPr>
          <w:rStyle w:val="18"/>
          <w:rFonts w:ascii="楷体" w:hAnsi="楷体" w:eastAsia="楷体"/>
          <w:color w:val="auto"/>
          <w:spacing w:val="-4"/>
          <w:sz w:val="32"/>
          <w:szCs w:val="32"/>
        </w:rPr>
      </w:pPr>
      <w:r>
        <w:rPr>
          <w:rFonts w:hint="eastAsia" w:ascii="楷体" w:hAnsi="楷体" w:eastAsia="楷体"/>
          <w:b/>
          <w:color w:val="auto"/>
          <w:spacing w:val="-4"/>
          <w:sz w:val="32"/>
          <w:szCs w:val="32"/>
        </w:rPr>
        <w:t>（二）</w:t>
      </w:r>
      <w:r>
        <w:rPr>
          <w:rStyle w:val="18"/>
          <w:rFonts w:hint="eastAsia" w:ascii="楷体" w:hAnsi="楷体" w:eastAsia="楷体"/>
          <w:color w:val="auto"/>
          <w:spacing w:val="-4"/>
          <w:sz w:val="32"/>
          <w:szCs w:val="32"/>
        </w:rPr>
        <w:t>项目过程情况</w:t>
      </w:r>
    </w:p>
    <w:p w14:paraId="400569FC">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项目过程管理类指标由2个二级指标和5个三级指标构成，权重分19.00分，实际得分15分。</w:t>
      </w:r>
    </w:p>
    <w:p w14:paraId="4241BF3A">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（三）</w:t>
      </w:r>
      <w:r>
        <w:rPr>
          <w:rStyle w:val="18"/>
          <w:rFonts w:hint="eastAsia" w:ascii="楷体" w:hAnsi="楷体" w:eastAsia="楷体"/>
          <w:color w:val="auto"/>
          <w:spacing w:val="-4"/>
          <w:sz w:val="32"/>
          <w:szCs w:val="32"/>
        </w:rPr>
        <w:t>项目产出情况</w:t>
      </w:r>
    </w:p>
    <w:p w14:paraId="65EE3516">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项目产出类指标由3个二级指标和4个三级指标构成，权重分40.0分，实际得分30分。</w:t>
      </w:r>
    </w:p>
    <w:p w14:paraId="15E2C553">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（四）</w:t>
      </w:r>
      <w:r>
        <w:rPr>
          <w:rStyle w:val="18"/>
          <w:rFonts w:hint="eastAsia" w:ascii="楷体" w:hAnsi="楷体" w:eastAsia="楷体"/>
          <w:color w:val="auto"/>
          <w:spacing w:val="-4"/>
          <w:sz w:val="32"/>
          <w:szCs w:val="32"/>
        </w:rPr>
        <w:t>项目效益情况</w:t>
      </w:r>
    </w:p>
    <w:p w14:paraId="36AD5D00">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项目效益类指标由1个二级指标和1个三级指标构成，权重分10分，实际得分10分。</w:t>
      </w:r>
    </w:p>
    <w:p w14:paraId="769EEB04">
      <w:pPr>
        <w:spacing w:line="540" w:lineRule="exact"/>
        <w:ind w:firstLine="567"/>
        <w:rPr>
          <w:rStyle w:val="18"/>
          <w:rFonts w:ascii="楷体" w:hAnsi="楷体" w:eastAsia="楷体"/>
          <w:color w:val="auto"/>
          <w:spacing w:val="-4"/>
          <w:sz w:val="32"/>
          <w:szCs w:val="32"/>
        </w:rPr>
      </w:pPr>
    </w:p>
    <w:p w14:paraId="7DB02C06">
      <w:pPr>
        <w:numPr>
          <w:ilvl w:val="0"/>
          <w:numId w:val="1"/>
        </w:numPr>
        <w:spacing w:line="540" w:lineRule="exact"/>
        <w:ind w:firstLine="640"/>
        <w:rPr>
          <w:rStyle w:val="18"/>
          <w:rFonts w:hint="eastAsia" w:ascii="黑体" w:hAnsi="黑体" w:eastAsia="黑体"/>
          <w:b w:val="0"/>
          <w:color w:val="auto"/>
          <w:spacing w:val="-4"/>
          <w:sz w:val="32"/>
          <w:szCs w:val="32"/>
        </w:rPr>
      </w:pPr>
      <w:r>
        <w:rPr>
          <w:rStyle w:val="18"/>
          <w:rFonts w:hint="eastAsia" w:ascii="黑体" w:hAnsi="黑体" w:eastAsia="黑体"/>
          <w:b w:val="0"/>
          <w:color w:val="auto"/>
          <w:spacing w:val="-4"/>
          <w:sz w:val="32"/>
          <w:szCs w:val="32"/>
          <w:lang w:val="en-US" w:eastAsia="zh-CN"/>
        </w:rPr>
        <w:t>预算执行进度与绩效指标偏差</w:t>
      </w:r>
    </w:p>
    <w:p w14:paraId="7DF9FEC6">
      <w:pPr>
        <w:spacing w:line="540" w:lineRule="exact"/>
        <w:ind w:firstLine="567"/>
        <w:rPr>
          <w:rStyle w:val="18"/>
          <w:rFonts w:hint="default" w:ascii="黑体" w:hAnsi="黑体" w:eastAsia="黑体"/>
          <w:b w:val="0"/>
          <w:color w:val="auto"/>
          <w:spacing w:val="-4"/>
          <w:sz w:val="32"/>
          <w:szCs w:val="32"/>
          <w:lang w:val="en-US" w:eastAsia="zh-CN"/>
        </w:rPr>
      </w:pPr>
      <w:r>
        <w:rPr>
          <w:rStyle w:val="18"/>
          <w:rFonts w:hint="eastAsia" w:ascii="楷体" w:hAnsi="楷体" w:eastAsia="楷体"/>
          <w:b w:val="0"/>
          <w:bCs w:val="0"/>
          <w:color w:val="auto"/>
          <w:spacing w:val="-4"/>
          <w:sz w:val="32"/>
          <w:szCs w:val="32"/>
        </w:rPr>
        <w:t>五、预算执行进度与绩效指标偏差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本项目年初预算资金总额为1398万元，全年预算数为1398万元，全年执行数为822.32万元，预算执行率为58.82%。</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本项目共设置三级指标数量19个，满分指标数量15个，扣分指标数量4个，经分析计算所有三级指标完成率得出，本项目总体完成率为87.73%。</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综上所述本项目预算执行率与总体完成进度之间的偏差为28.91%。主要偏差原因：项目招标时间较晚，进入冬季无法进行施工，导致电梯未完成建设。</w:t>
      </w:r>
    </w:p>
    <w:p w14:paraId="461C1343">
      <w:pPr>
        <w:numPr>
          <w:ilvl w:val="0"/>
          <w:numId w:val="1"/>
        </w:numPr>
        <w:spacing w:line="540" w:lineRule="exact"/>
        <w:ind w:firstLine="640"/>
        <w:rPr>
          <w:rStyle w:val="18"/>
          <w:rFonts w:hint="eastAsia" w:ascii="黑体" w:hAnsi="黑体" w:eastAsia="黑体"/>
          <w:b w:val="0"/>
          <w:color w:val="auto"/>
          <w:spacing w:val="-4"/>
          <w:sz w:val="32"/>
          <w:szCs w:val="32"/>
        </w:rPr>
      </w:pPr>
      <w:r>
        <w:rPr>
          <w:rStyle w:val="18"/>
          <w:rFonts w:hint="eastAsia" w:ascii="黑体" w:hAnsi="黑体" w:eastAsia="黑体"/>
          <w:b w:val="0"/>
          <w:color w:val="auto"/>
          <w:spacing w:val="-4"/>
          <w:sz w:val="32"/>
          <w:szCs w:val="32"/>
        </w:rPr>
        <w:t>主要经验及做法、存在的问题及原因分析</w:t>
      </w:r>
    </w:p>
    <w:p w14:paraId="21A026C7">
      <w:pPr>
        <w:spacing w:line="540" w:lineRule="exact"/>
        <w:ind w:firstLine="567"/>
        <w:rPr>
          <w:rFonts w:ascii="仿宋_GB2312" w:eastAsia="仿宋_GB2312"/>
          <w:color w:val="auto"/>
          <w:spacing w:val="-4"/>
          <w:sz w:val="32"/>
          <w:szCs w:val="32"/>
        </w:rPr>
      </w:pPr>
      <w:r>
        <w:rPr>
          <w:rStyle w:val="18"/>
          <w:rFonts w:hint="eastAsia" w:ascii="楷体" w:hAnsi="楷体" w:eastAsia="楷体"/>
          <w:b w:val="0"/>
          <w:bCs w:val="0"/>
          <w:color w:val="auto"/>
          <w:spacing w:val="-4"/>
          <w:sz w:val="32"/>
          <w:szCs w:val="32"/>
        </w:rPr>
        <w:t>（一）主要经验及做法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为做好项目实施的跟踪检查工作，我局定期不定期对项目实施情况和经费使用情况进行跟踪检查，对能实现预期绩效目标的项目予以充分肯定。对进展缓慢，预期绩效目标较差的项目，及时进行协调和提出整改措施，确保项目实施工作正常运行，达到预期绩效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（二）存在的问题及原因分析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档案归档工作有待提高。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项目支出绩效评价存在局限，客观性有待加强。项目支出绩效评价工作还存在自我审定的局限性，项目支出绩效工作有较大弹性，评价报告多局限于描述项目实施情况，对问题避重就轻，对项目的打分松紧不一，会影响评价质量，在客观性和公正性上说服力不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项目预算资金执行率较低。项目前期工作准备周期较长，合同签订到实施已进入年末。建成一个指挥中心信息化系统项目资金使用率达70%计划2024年5月完工。建成一部电梯项目资金使用率达0%，计划2024年4月-7月施工并完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5.项目实施的实际产出率较低。数量指标中建成一部电梯在合同签订后未施工。根据施工要求气温达到零下5度即停止施工，此项目于2024年4月开始施工预计2024年7月完工。</w:t>
      </w:r>
    </w:p>
    <w:p w14:paraId="0A0FD861">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lang w:val="en-US" w:eastAsia="zh-CN"/>
        </w:rPr>
        <w:t>七</w:t>
      </w:r>
      <w:r>
        <w:rPr>
          <w:rStyle w:val="18"/>
          <w:rFonts w:hint="eastAsia" w:ascii="黑体" w:hAnsi="黑体" w:eastAsia="黑体"/>
          <w:b w:val="0"/>
          <w:color w:val="auto"/>
          <w:spacing w:val="-4"/>
          <w:sz w:val="32"/>
          <w:szCs w:val="32"/>
        </w:rPr>
        <w:t>、有关建议</w:t>
      </w:r>
    </w:p>
    <w:p w14:paraId="2112702F">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b w:val="0"/>
          <w:bCs w:val="0"/>
          <w:color w:val="auto"/>
          <w:spacing w:val="-4"/>
          <w:sz w:val="32"/>
          <w:szCs w:val="32"/>
        </w:rPr>
        <w:t>1.加强培训，提高相关人员工作水平。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扎实推进档案规范化建设，提升档案管理水平。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 高度重视，加强领导。高度重视，加强领导，精心组织。项目绩效领导小组对绩效评价工作进行指导、监督、检查，确保项目绩效评价反映项目完成真实情况。严格执行项目绩效评价工作要求，切实提高项目绩效报告的客观性和公正性。</w:t>
      </w:r>
    </w:p>
    <w:p w14:paraId="1FFDC6FB">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lang w:val="en-US" w:eastAsia="zh-CN"/>
        </w:rPr>
        <w:t>八</w:t>
      </w:r>
      <w:r>
        <w:rPr>
          <w:rStyle w:val="18"/>
          <w:rFonts w:hint="eastAsia" w:ascii="黑体" w:hAnsi="黑体" w:eastAsia="黑体"/>
          <w:b w:val="0"/>
          <w:color w:val="auto"/>
          <w:spacing w:val="-4"/>
          <w:sz w:val="32"/>
          <w:szCs w:val="32"/>
        </w:rPr>
        <w:t>、其他需要说明的问题</w:t>
      </w:r>
    </w:p>
    <w:p w14:paraId="7BDA2687">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（三）我单位对上述项目支出绩效评价报告内反映内容的真实性、完整性负责，接受上级部门及社会公众监督。</w:t>
      </w:r>
    </w:p>
    <w:p w14:paraId="7F7D3DDB">
      <w:pPr>
        <w:spacing w:line="540" w:lineRule="exact"/>
        <w:ind w:firstLine="567"/>
        <w:rPr>
          <w:rStyle w:val="18"/>
          <w:rFonts w:ascii="仿宋" w:hAnsi="仿宋" w:eastAsia="仿宋"/>
          <w:b w:val="0"/>
          <w:color w:val="auto"/>
          <w:spacing w:val="-4"/>
          <w:sz w:val="32"/>
          <w:szCs w:val="32"/>
        </w:rPr>
      </w:pPr>
    </w:p>
    <w:p w14:paraId="1972B8EF">
      <w:pPr>
        <w:spacing w:line="540" w:lineRule="exact"/>
        <w:ind w:firstLine="567"/>
        <w:rPr>
          <w:rStyle w:val="18"/>
          <w:rFonts w:ascii="仿宋" w:hAnsi="仿宋" w:eastAsia="仿宋"/>
          <w:b w:val="0"/>
          <w:color w:val="auto"/>
          <w:spacing w:val="-4"/>
          <w:sz w:val="32"/>
          <w:szCs w:val="32"/>
        </w:rPr>
      </w:pPr>
    </w:p>
    <w:p w14:paraId="5562110A">
      <w:pPr>
        <w:spacing w:line="540" w:lineRule="exact"/>
        <w:ind w:firstLine="567"/>
        <w:rPr>
          <w:rStyle w:val="18"/>
          <w:rFonts w:ascii="仿宋" w:hAnsi="仿宋" w:eastAsia="仿宋"/>
          <w:b w:val="0"/>
          <w:color w:val="auto"/>
          <w:spacing w:val="-4"/>
          <w:sz w:val="32"/>
          <w:szCs w:val="32"/>
        </w:rPr>
      </w:pPr>
    </w:p>
    <w:p w14:paraId="730C1593">
      <w:pPr>
        <w:spacing w:line="540" w:lineRule="exact"/>
        <w:ind w:firstLine="567"/>
        <w:rPr>
          <w:rStyle w:val="18"/>
          <w:rFonts w:ascii="仿宋" w:hAnsi="仿宋" w:eastAsia="仿宋"/>
          <w:b w:val="0"/>
          <w:color w:val="auto"/>
          <w:spacing w:val="-4"/>
          <w:sz w:val="32"/>
          <w:szCs w:val="32"/>
        </w:rPr>
      </w:pPr>
    </w:p>
    <w:p w14:paraId="2D218523">
      <w:pPr>
        <w:spacing w:line="540" w:lineRule="exact"/>
        <w:ind w:firstLine="567"/>
        <w:rPr>
          <w:rStyle w:val="18"/>
          <w:rFonts w:ascii="仿宋" w:hAnsi="仿宋" w:eastAsia="仿宋"/>
          <w:b w:val="0"/>
          <w:color w:val="auto"/>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1595C5D-E24A-4575-94C6-A9E30A3D1D1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A52E958-81D8-406E-BD1C-06C97B57679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34AA5579-8D86-4CC4-80F1-776F64EE8959}"/>
  </w:font>
  <w:font w:name="华文中宋">
    <w:panose1 w:val="02010600040101010101"/>
    <w:charset w:val="86"/>
    <w:family w:val="auto"/>
    <w:pitch w:val="default"/>
    <w:sig w:usb0="00000287" w:usb1="080F0000" w:usb2="00000000" w:usb3="00000000" w:csb0="0004009F" w:csb1="DFD70000"/>
    <w:embedRegular r:id="rId4" w:fontKey="{DDFFBBDA-BA17-48E3-A26B-29CA69CC7B53}"/>
  </w:font>
  <w:font w:name="方正小标宋_GBK">
    <w:panose1 w:val="02000000000000000000"/>
    <w:charset w:val="86"/>
    <w:family w:val="script"/>
    <w:pitch w:val="default"/>
    <w:sig w:usb0="A00002BF" w:usb1="38CF7CFA" w:usb2="00082016" w:usb3="00000000" w:csb0="00040001" w:csb1="00000000"/>
    <w:embedRegular r:id="rId5" w:fontKey="{0F64C970-03DE-45D4-BB33-4969998C0D42}"/>
  </w:font>
  <w:font w:name="仿宋_GB2312">
    <w:altName w:val="仿宋"/>
    <w:panose1 w:val="02010609030101010101"/>
    <w:charset w:val="86"/>
    <w:family w:val="modern"/>
    <w:pitch w:val="default"/>
    <w:sig w:usb0="00000000" w:usb1="00000000" w:usb2="00000000" w:usb3="00000000" w:csb0="00040000" w:csb1="00000000"/>
    <w:embedRegular r:id="rId6" w:fontKey="{86FFE4E7-03A4-4F13-9F76-C44230201340}"/>
  </w:font>
  <w:font w:name="楷体">
    <w:panose1 w:val="02010609060101010101"/>
    <w:charset w:val="86"/>
    <w:family w:val="modern"/>
    <w:pitch w:val="default"/>
    <w:sig w:usb0="800002BF" w:usb1="38CF7CFA" w:usb2="00000016" w:usb3="00000000" w:csb0="00040001" w:csb1="00000000"/>
    <w:embedRegular r:id="rId7" w:fontKey="{4553CA07-5ABA-46B9-93B1-D24C79DCEE6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E392C70">
        <w:pPr>
          <w:pStyle w:val="12"/>
          <w:jc w:val="center"/>
        </w:pPr>
        <w:r>
          <w:fldChar w:fldCharType="begin"/>
        </w:r>
        <w:r>
          <w:instrText xml:space="preserve">PAGE   \* MERGEFORMAT</w:instrText>
        </w:r>
        <w:r>
          <w:fldChar w:fldCharType="separate"/>
        </w:r>
        <w:r>
          <w:rPr>
            <w:lang w:val="zh-CN"/>
          </w:rPr>
          <w:t>2</w:t>
        </w:r>
        <w:r>
          <w:fldChar w:fldCharType="end"/>
        </w:r>
      </w:p>
    </w:sdtContent>
  </w:sdt>
  <w:p w14:paraId="4281BD0A">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3580774"/>
    <w:rsid w:val="0856517C"/>
    <w:rsid w:val="0BFB189F"/>
    <w:rsid w:val="11BD75F7"/>
    <w:rsid w:val="13BE561A"/>
    <w:rsid w:val="15392994"/>
    <w:rsid w:val="18FE139B"/>
    <w:rsid w:val="3029612C"/>
    <w:rsid w:val="32A221C5"/>
    <w:rsid w:val="33F20F2A"/>
    <w:rsid w:val="34C44675"/>
    <w:rsid w:val="3B5B5607"/>
    <w:rsid w:val="3CE21B3C"/>
    <w:rsid w:val="3E0951EA"/>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10863</Words>
  <Characters>11285</Characters>
  <Lines>4</Lines>
  <Paragraphs>1</Paragraphs>
  <TotalTime>2</TotalTime>
  <ScaleCrop>false</ScaleCrop>
  <LinksUpToDate>false</LinksUpToDate>
  <CharactersWithSpaces>11327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小麦啾</cp:lastModifiedBy>
  <cp:lastPrinted>2018-12-31T10:56:00Z</cp:lastPrinted>
  <dcterms:modified xsi:type="dcterms:W3CDTF">2026-08-14T03:46:54Z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C734C92AAAF24344A0E4232D8EB3359B</vt:lpwstr>
  </property>
  <property fmtid="{D5CDD505-2E9C-101B-9397-08002B2CF9AE}" pid="4" name="KSOTemplateDocerSaveRecord">
    <vt:lpwstr>eyJoZGlkIjoiZGZmMjg3MDQ2MzExNDk0OWY5M2UwNzBmOWViMDBkMGMiLCJ1c2VySWQiOiIzMjQ5NjUzODcifQ==</vt:lpwstr>
  </property>
</Properties>
</file>